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bCs/>
          <w:sz w:val="32"/>
          <w:szCs w:val="32"/>
        </w:rPr>
      </w:pPr>
      <w:bookmarkStart w:id="0" w:name="_Toc9253"/>
    </w:p>
    <w:p>
      <w:pPr>
        <w:jc w:val="center"/>
        <w:rPr>
          <w:rFonts w:asciiTheme="majorEastAsia" w:hAnsiTheme="majorEastAsia" w:eastAsiaTheme="majorEastAsia"/>
          <w:b/>
          <w:bCs/>
          <w:sz w:val="32"/>
          <w:szCs w:val="32"/>
        </w:rPr>
      </w:pPr>
    </w:p>
    <w:p>
      <w:pPr>
        <w:jc w:val="center"/>
        <w:rPr>
          <w:rFonts w:asciiTheme="majorEastAsia" w:hAnsiTheme="majorEastAsia" w:eastAsiaTheme="majorEastAsia"/>
          <w:b/>
          <w:bCs/>
          <w:sz w:val="32"/>
          <w:szCs w:val="32"/>
        </w:rPr>
      </w:pPr>
    </w:p>
    <w:p>
      <w:pPr>
        <w:jc w:val="center"/>
        <w:rPr>
          <w:rFonts w:asciiTheme="majorEastAsia" w:hAnsiTheme="majorEastAsia" w:eastAsiaTheme="majorEastAsia"/>
          <w:b/>
          <w:bCs/>
          <w:sz w:val="44"/>
          <w:szCs w:val="44"/>
        </w:rPr>
      </w:pPr>
      <w:r>
        <w:rPr>
          <w:rFonts w:hint="eastAsia" w:asciiTheme="majorEastAsia" w:hAnsiTheme="majorEastAsia" w:eastAsiaTheme="majorEastAsia"/>
          <w:b/>
          <w:bCs/>
          <w:sz w:val="44"/>
          <w:szCs w:val="44"/>
          <w:lang w:eastAsia="zh-CN"/>
        </w:rPr>
        <w:t>办学</w:t>
      </w:r>
      <w:r>
        <w:rPr>
          <w:rFonts w:asciiTheme="majorEastAsia" w:hAnsiTheme="majorEastAsia" w:eastAsiaTheme="majorEastAsia"/>
          <w:b/>
          <w:bCs/>
          <w:sz w:val="44"/>
          <w:szCs w:val="44"/>
        </w:rPr>
        <w:t>实体</w:t>
      </w:r>
      <w:r>
        <w:rPr>
          <w:rFonts w:hint="eastAsia" w:asciiTheme="majorEastAsia" w:hAnsiTheme="majorEastAsia" w:eastAsiaTheme="majorEastAsia"/>
          <w:b/>
          <w:bCs/>
          <w:sz w:val="44"/>
          <w:szCs w:val="44"/>
        </w:rPr>
        <w:t>2</w:t>
      </w:r>
      <w:r>
        <w:rPr>
          <w:rFonts w:asciiTheme="majorEastAsia" w:hAnsiTheme="majorEastAsia" w:eastAsiaTheme="majorEastAsia"/>
          <w:b/>
          <w:bCs/>
          <w:sz w:val="44"/>
          <w:szCs w:val="44"/>
        </w:rPr>
        <w:t>023年度业绩简表</w:t>
      </w:r>
    </w:p>
    <w:p>
      <w:pPr>
        <w:jc w:val="center"/>
        <w:rPr>
          <w:rFonts w:asciiTheme="majorEastAsia" w:hAnsiTheme="majorEastAsia" w:eastAsiaTheme="majorEastAsia"/>
          <w:b/>
          <w:bCs/>
          <w:sz w:val="32"/>
          <w:szCs w:val="32"/>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jc w:val="center"/>
        <w:rPr>
          <w:sz w:val="32"/>
          <w:szCs w:val="32"/>
        </w:rPr>
      </w:pPr>
      <w:r>
        <w:rPr>
          <w:sz w:val="32"/>
          <w:szCs w:val="32"/>
        </w:rPr>
        <w:t>合肥工业大学</w:t>
      </w:r>
    </w:p>
    <w:p>
      <w:pPr>
        <w:pStyle w:val="2"/>
        <w:ind w:firstLine="640"/>
        <w:jc w:val="center"/>
        <w:rPr>
          <w:sz w:val="32"/>
          <w:szCs w:val="32"/>
        </w:rPr>
      </w:pPr>
      <w:r>
        <w:rPr>
          <w:rFonts w:hint="eastAsia"/>
          <w:sz w:val="32"/>
          <w:szCs w:val="32"/>
        </w:rPr>
        <w:t>2</w:t>
      </w:r>
      <w:r>
        <w:rPr>
          <w:sz w:val="32"/>
          <w:szCs w:val="32"/>
        </w:rPr>
        <w:t>024年</w:t>
      </w:r>
      <w:r>
        <w:rPr>
          <w:rFonts w:hint="eastAsia"/>
          <w:sz w:val="32"/>
          <w:szCs w:val="32"/>
        </w:rPr>
        <w:t>1月</w:t>
      </w:r>
      <w:r>
        <w:rPr>
          <w:rFonts w:hint="eastAsia"/>
          <w:sz w:val="32"/>
          <w:szCs w:val="32"/>
          <w:lang w:val="en-US" w:eastAsia="zh-CN"/>
        </w:rPr>
        <w:t>3</w:t>
      </w:r>
      <w:r>
        <w:rPr>
          <w:rFonts w:hint="eastAsia"/>
          <w:sz w:val="32"/>
          <w:szCs w:val="32"/>
        </w:rPr>
        <w:t>日</w:t>
      </w:r>
    </w:p>
    <w:p>
      <w:pPr>
        <w:pStyle w:val="2"/>
      </w:pPr>
    </w:p>
    <w:p>
      <w:pPr>
        <w:pStyle w:val="2"/>
      </w:pPr>
    </w:p>
    <w:p>
      <w:pPr>
        <w:pStyle w:val="2"/>
      </w:pPr>
    </w:p>
    <w:p>
      <w:pPr>
        <w:pStyle w:val="2"/>
        <w:ind w:firstLine="0" w:firstLineChars="0"/>
        <w:jc w:val="both"/>
      </w:pPr>
    </w:p>
    <w:p>
      <w:pPr>
        <w:jc w:val="center"/>
        <w:rPr>
          <w:rFonts w:ascii="宋体" w:hAnsi="宋体" w:eastAsia="宋体"/>
          <w:b/>
          <w:bCs/>
          <w:szCs w:val="28"/>
        </w:rPr>
        <w:sectPr>
          <w:footerReference r:id="rId4" w:type="first"/>
          <w:footerReference r:id="rId3" w:type="default"/>
          <w:pgSz w:w="11906" w:h="16838"/>
          <w:pgMar w:top="1440" w:right="1800" w:bottom="1440" w:left="1800" w:header="851" w:footer="992" w:gutter="0"/>
          <w:pgNumType w:start="1"/>
          <w:cols w:space="425" w:num="1"/>
          <w:titlePg/>
          <w:docGrid w:type="lines" w:linePitch="381" w:charSpace="0"/>
        </w:sectPr>
      </w:pPr>
    </w:p>
    <w:sdt>
      <w:sdtPr>
        <w:rPr>
          <w:rFonts w:ascii="宋体" w:hAnsi="宋体" w:eastAsia="宋体"/>
          <w:b/>
          <w:bCs/>
          <w:szCs w:val="28"/>
        </w:rPr>
        <w:id w:val="147473362"/>
        <w15:color w:val="DBDBDB"/>
        <w:docPartObj>
          <w:docPartGallery w:val="Table of Contents"/>
          <w:docPartUnique/>
        </w:docPartObj>
      </w:sdtPr>
      <w:sdtEndPr>
        <w:rPr>
          <w:rFonts w:hint="eastAsia" w:asciiTheme="majorEastAsia" w:hAnsiTheme="majorEastAsia" w:eastAsiaTheme="majorEastAsia" w:cstheme="majorEastAsia"/>
          <w:b/>
          <w:bCs/>
          <w:szCs w:val="28"/>
        </w:rPr>
      </w:sdtEndPr>
      <w:sdtContent>
        <w:p>
          <w:pPr>
            <w:jc w:val="center"/>
            <w:rPr>
              <w:rFonts w:eastAsia="宋体"/>
              <w:b/>
              <w:bCs/>
              <w:sz w:val="30"/>
              <w:szCs w:val="30"/>
            </w:rPr>
          </w:pPr>
          <w:r>
            <w:rPr>
              <w:rFonts w:hint="eastAsia" w:ascii="宋体" w:hAnsi="宋体" w:eastAsia="宋体"/>
              <w:b/>
              <w:bCs/>
              <w:sz w:val="30"/>
              <w:szCs w:val="30"/>
            </w:rPr>
            <w:t>目录</w:t>
          </w:r>
        </w:p>
        <w:p>
          <w:pPr>
            <w:pStyle w:val="11"/>
            <w:tabs>
              <w:tab w:val="right" w:leader="dot" w:pos="8306"/>
            </w:tabs>
            <w:rPr>
              <w:rFonts w:hint="eastAsia" w:ascii="宋体" w:hAnsi="宋体" w:eastAsia="宋体" w:cs="宋体"/>
              <w:sz w:val="24"/>
              <w:szCs w:val="21"/>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TOC \o "1-1" \h \u </w:instrText>
          </w:r>
          <w:r>
            <w:rPr>
              <w:rFonts w:hint="eastAsia" w:ascii="宋体" w:hAnsi="宋体" w:eastAsia="宋体" w:cs="宋体"/>
              <w:b/>
              <w:bCs/>
              <w:sz w:val="24"/>
              <w:szCs w:val="24"/>
            </w:rPr>
            <w:fldChar w:fldCharType="separate"/>
          </w: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_Toc3397 </w:instrText>
          </w:r>
          <w:r>
            <w:rPr>
              <w:rFonts w:hint="eastAsia" w:ascii="宋体" w:hAnsi="宋体" w:eastAsia="宋体" w:cs="宋体"/>
              <w:bCs/>
              <w:sz w:val="24"/>
              <w:szCs w:val="24"/>
            </w:rPr>
            <w:fldChar w:fldCharType="separate"/>
          </w:r>
          <w:r>
            <w:rPr>
              <w:rFonts w:hint="eastAsia" w:ascii="宋体" w:hAnsi="宋体" w:eastAsia="宋体" w:cs="宋体"/>
              <w:sz w:val="24"/>
              <w:szCs w:val="21"/>
              <w:shd w:val="clear" w:color="auto" w:fill="FFFFFF"/>
            </w:rPr>
            <w:t>机械工程学院2023年度业绩简表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_Toc3397 \h </w:instrText>
          </w:r>
          <w:r>
            <w:rPr>
              <w:rFonts w:hint="eastAsia" w:ascii="宋体" w:hAnsi="宋体" w:eastAsia="宋体" w:cs="宋体"/>
              <w:sz w:val="24"/>
              <w:szCs w:val="21"/>
            </w:rPr>
            <w:fldChar w:fldCharType="separate"/>
          </w:r>
          <w:r>
            <w:rPr>
              <w:rFonts w:hint="eastAsia" w:ascii="宋体" w:hAnsi="宋体" w:eastAsia="宋体" w:cs="宋体"/>
              <w:sz w:val="24"/>
              <w:szCs w:val="21"/>
            </w:rPr>
            <w:t>1</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_Toc18022 </w:instrText>
          </w:r>
          <w:r>
            <w:rPr>
              <w:rFonts w:hint="eastAsia" w:ascii="宋体" w:hAnsi="宋体" w:eastAsia="宋体" w:cs="宋体"/>
              <w:bCs/>
              <w:sz w:val="24"/>
              <w:szCs w:val="24"/>
            </w:rPr>
            <w:fldChar w:fldCharType="separate"/>
          </w:r>
          <w:r>
            <w:rPr>
              <w:rFonts w:hint="eastAsia" w:ascii="宋体" w:hAnsi="宋体" w:eastAsia="宋体" w:cs="宋体"/>
              <w:sz w:val="24"/>
              <w:szCs w:val="21"/>
              <w:shd w:val="clear" w:color="auto" w:fill="FFFFFF"/>
            </w:rPr>
            <w:t>材料科学与工程学院2023年度业绩简表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_Toc18022 \h </w:instrText>
          </w:r>
          <w:r>
            <w:rPr>
              <w:rFonts w:hint="eastAsia" w:ascii="宋体" w:hAnsi="宋体" w:eastAsia="宋体" w:cs="宋体"/>
              <w:sz w:val="24"/>
              <w:szCs w:val="21"/>
            </w:rPr>
            <w:fldChar w:fldCharType="separate"/>
          </w:r>
          <w:r>
            <w:rPr>
              <w:rFonts w:hint="eastAsia" w:ascii="宋体" w:hAnsi="宋体" w:eastAsia="宋体" w:cs="宋体"/>
              <w:sz w:val="24"/>
              <w:szCs w:val="21"/>
            </w:rPr>
            <w:t>3</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_Toc20052 </w:instrText>
          </w:r>
          <w:r>
            <w:rPr>
              <w:rFonts w:hint="eastAsia" w:ascii="宋体" w:hAnsi="宋体" w:eastAsia="宋体" w:cs="宋体"/>
              <w:bCs/>
              <w:sz w:val="24"/>
              <w:szCs w:val="24"/>
            </w:rPr>
            <w:fldChar w:fldCharType="separate"/>
          </w:r>
          <w:r>
            <w:rPr>
              <w:rFonts w:hint="eastAsia" w:ascii="宋体" w:hAnsi="宋体" w:eastAsia="宋体" w:cs="宋体"/>
              <w:sz w:val="24"/>
              <w:szCs w:val="21"/>
              <w:shd w:val="clear" w:color="auto" w:fill="FFFFFF"/>
            </w:rPr>
            <w:t>电气与自动化工程学院2023年度业绩简表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_Toc20052 \h </w:instrText>
          </w:r>
          <w:r>
            <w:rPr>
              <w:rFonts w:hint="eastAsia" w:ascii="宋体" w:hAnsi="宋体" w:eastAsia="宋体" w:cs="宋体"/>
              <w:sz w:val="24"/>
              <w:szCs w:val="21"/>
            </w:rPr>
            <w:fldChar w:fldCharType="separate"/>
          </w:r>
          <w:r>
            <w:rPr>
              <w:rFonts w:hint="eastAsia" w:ascii="宋体" w:hAnsi="宋体" w:eastAsia="宋体" w:cs="宋体"/>
              <w:sz w:val="24"/>
              <w:szCs w:val="21"/>
            </w:rPr>
            <w:t>5</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_Toc21063 </w:instrText>
          </w:r>
          <w:r>
            <w:rPr>
              <w:rFonts w:hint="eastAsia" w:ascii="宋体" w:hAnsi="宋体" w:eastAsia="宋体" w:cs="宋体"/>
              <w:bCs/>
              <w:sz w:val="24"/>
              <w:szCs w:val="24"/>
            </w:rPr>
            <w:fldChar w:fldCharType="separate"/>
          </w:r>
          <w:r>
            <w:rPr>
              <w:rFonts w:hint="eastAsia" w:ascii="宋体" w:hAnsi="宋体" w:eastAsia="宋体" w:cs="宋体"/>
              <w:sz w:val="24"/>
              <w:szCs w:val="21"/>
              <w:shd w:val="clear" w:color="auto" w:fill="FFFFFF"/>
            </w:rPr>
            <w:t>计算机与信息学院2023年度业绩简表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_Toc21063 \h </w:instrText>
          </w:r>
          <w:r>
            <w:rPr>
              <w:rFonts w:hint="eastAsia" w:ascii="宋体" w:hAnsi="宋体" w:eastAsia="宋体" w:cs="宋体"/>
              <w:sz w:val="24"/>
              <w:szCs w:val="21"/>
            </w:rPr>
            <w:fldChar w:fldCharType="separate"/>
          </w:r>
          <w:r>
            <w:rPr>
              <w:rFonts w:hint="eastAsia" w:ascii="宋体" w:hAnsi="宋体" w:eastAsia="宋体" w:cs="宋体"/>
              <w:sz w:val="24"/>
              <w:szCs w:val="21"/>
            </w:rPr>
            <w:t>7</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_Toc4653 </w:instrText>
          </w:r>
          <w:r>
            <w:rPr>
              <w:rFonts w:hint="eastAsia" w:ascii="宋体" w:hAnsi="宋体" w:eastAsia="宋体" w:cs="宋体"/>
              <w:bCs/>
              <w:sz w:val="24"/>
              <w:szCs w:val="24"/>
            </w:rPr>
            <w:fldChar w:fldCharType="separate"/>
          </w:r>
          <w:r>
            <w:rPr>
              <w:rFonts w:hint="eastAsia" w:ascii="宋体" w:hAnsi="宋体" w:eastAsia="宋体" w:cs="宋体"/>
              <w:sz w:val="24"/>
              <w:szCs w:val="21"/>
              <w:shd w:val="clear" w:color="auto" w:fill="FFFFFF"/>
            </w:rPr>
            <w:t>软件学院2023年度业绩简表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_Toc4653 \h </w:instrText>
          </w:r>
          <w:r>
            <w:rPr>
              <w:rFonts w:hint="eastAsia" w:ascii="宋体" w:hAnsi="宋体" w:eastAsia="宋体" w:cs="宋体"/>
              <w:sz w:val="24"/>
              <w:szCs w:val="21"/>
            </w:rPr>
            <w:fldChar w:fldCharType="separate"/>
          </w:r>
          <w:r>
            <w:rPr>
              <w:rFonts w:hint="eastAsia" w:ascii="宋体" w:hAnsi="宋体" w:eastAsia="宋体" w:cs="宋体"/>
              <w:sz w:val="24"/>
              <w:szCs w:val="21"/>
            </w:rPr>
            <w:t>9</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_Toc21101 </w:instrText>
          </w:r>
          <w:r>
            <w:rPr>
              <w:rFonts w:hint="eastAsia" w:ascii="宋体" w:hAnsi="宋体" w:eastAsia="宋体" w:cs="宋体"/>
              <w:bCs/>
              <w:sz w:val="24"/>
              <w:szCs w:val="24"/>
            </w:rPr>
            <w:fldChar w:fldCharType="separate"/>
          </w:r>
          <w:r>
            <w:rPr>
              <w:rFonts w:hint="eastAsia" w:ascii="宋体" w:hAnsi="宋体" w:eastAsia="宋体" w:cs="宋体"/>
              <w:sz w:val="24"/>
              <w:szCs w:val="28"/>
              <w:shd w:val="clear" w:color="auto" w:fill="FFFFFF"/>
            </w:rPr>
            <w:t>土木与水利工程学院2023年度业绩简表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_Toc21101 \h </w:instrText>
          </w:r>
          <w:r>
            <w:rPr>
              <w:rFonts w:hint="eastAsia" w:ascii="宋体" w:hAnsi="宋体" w:eastAsia="宋体" w:cs="宋体"/>
              <w:sz w:val="24"/>
              <w:szCs w:val="21"/>
            </w:rPr>
            <w:fldChar w:fldCharType="separate"/>
          </w:r>
          <w:r>
            <w:rPr>
              <w:rFonts w:hint="eastAsia" w:ascii="宋体" w:hAnsi="宋体" w:eastAsia="宋体" w:cs="宋体"/>
              <w:sz w:val="24"/>
              <w:szCs w:val="21"/>
            </w:rPr>
            <w:t>11</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_Toc10308 </w:instrText>
          </w:r>
          <w:r>
            <w:rPr>
              <w:rFonts w:hint="eastAsia" w:ascii="宋体" w:hAnsi="宋体" w:eastAsia="宋体" w:cs="宋体"/>
              <w:bCs/>
              <w:sz w:val="24"/>
              <w:szCs w:val="24"/>
            </w:rPr>
            <w:fldChar w:fldCharType="separate"/>
          </w:r>
          <w:r>
            <w:rPr>
              <w:rFonts w:hint="eastAsia" w:ascii="宋体" w:hAnsi="宋体" w:eastAsia="宋体" w:cs="宋体"/>
              <w:sz w:val="24"/>
              <w:szCs w:val="28"/>
              <w:shd w:val="clear" w:color="auto" w:fill="FFFFFF"/>
              <w:lang w:eastAsia="zh-CN"/>
            </w:rPr>
            <w:t>化学与化工</w:t>
          </w:r>
          <w:r>
            <w:rPr>
              <w:rFonts w:hint="eastAsia" w:ascii="宋体" w:hAnsi="宋体" w:eastAsia="宋体" w:cs="宋体"/>
              <w:sz w:val="24"/>
              <w:szCs w:val="28"/>
              <w:shd w:val="clear" w:color="auto" w:fill="FFFFFF"/>
            </w:rPr>
            <w:t>学院2023年度业绩简表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_Toc10308 \h </w:instrText>
          </w:r>
          <w:r>
            <w:rPr>
              <w:rFonts w:hint="eastAsia" w:ascii="宋体" w:hAnsi="宋体" w:eastAsia="宋体" w:cs="宋体"/>
              <w:sz w:val="24"/>
              <w:szCs w:val="21"/>
            </w:rPr>
            <w:fldChar w:fldCharType="separate"/>
          </w:r>
          <w:r>
            <w:rPr>
              <w:rFonts w:hint="eastAsia" w:ascii="宋体" w:hAnsi="宋体" w:eastAsia="宋体" w:cs="宋体"/>
              <w:sz w:val="24"/>
              <w:szCs w:val="21"/>
            </w:rPr>
            <w:t>13</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_Toc24488 </w:instrText>
          </w:r>
          <w:r>
            <w:rPr>
              <w:rFonts w:hint="eastAsia" w:ascii="宋体" w:hAnsi="宋体" w:eastAsia="宋体" w:cs="宋体"/>
              <w:bCs/>
              <w:sz w:val="24"/>
              <w:szCs w:val="24"/>
            </w:rPr>
            <w:fldChar w:fldCharType="separate"/>
          </w:r>
          <w:r>
            <w:rPr>
              <w:rFonts w:hint="eastAsia" w:ascii="宋体" w:hAnsi="宋体" w:eastAsia="宋体" w:cs="宋体"/>
              <w:sz w:val="24"/>
              <w:szCs w:val="21"/>
              <w:shd w:val="clear" w:color="auto" w:fill="FFFFFF"/>
              <w:lang w:eastAsia="zh-CN"/>
            </w:rPr>
            <w:t>马克思主义</w:t>
          </w:r>
          <w:r>
            <w:rPr>
              <w:rFonts w:hint="eastAsia" w:ascii="宋体" w:hAnsi="宋体" w:eastAsia="宋体" w:cs="宋体"/>
              <w:sz w:val="24"/>
              <w:szCs w:val="21"/>
              <w:shd w:val="clear" w:color="auto" w:fill="FFFFFF"/>
            </w:rPr>
            <w:t>学院2023年度业绩简表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_Toc24488 \h </w:instrText>
          </w:r>
          <w:r>
            <w:rPr>
              <w:rFonts w:hint="eastAsia" w:ascii="宋体" w:hAnsi="宋体" w:eastAsia="宋体" w:cs="宋体"/>
              <w:sz w:val="24"/>
              <w:szCs w:val="21"/>
            </w:rPr>
            <w:fldChar w:fldCharType="separate"/>
          </w:r>
          <w:r>
            <w:rPr>
              <w:rFonts w:hint="eastAsia" w:ascii="宋体" w:hAnsi="宋体" w:eastAsia="宋体" w:cs="宋体"/>
              <w:sz w:val="24"/>
              <w:szCs w:val="21"/>
            </w:rPr>
            <w:t>15</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_Toc22704 </w:instrText>
          </w:r>
          <w:r>
            <w:rPr>
              <w:rFonts w:hint="eastAsia" w:ascii="宋体" w:hAnsi="宋体" w:eastAsia="宋体" w:cs="宋体"/>
              <w:bCs/>
              <w:sz w:val="24"/>
              <w:szCs w:val="24"/>
            </w:rPr>
            <w:fldChar w:fldCharType="separate"/>
          </w:r>
          <w:r>
            <w:rPr>
              <w:rFonts w:hint="eastAsia" w:ascii="宋体" w:hAnsi="宋体" w:eastAsia="宋体" w:cs="宋体"/>
              <w:sz w:val="24"/>
              <w:szCs w:val="28"/>
              <w:shd w:val="clear" w:color="auto" w:fill="FFFFFF"/>
            </w:rPr>
            <w:t>经济学院2023年度业绩简表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_Toc22704 \h </w:instrText>
          </w:r>
          <w:r>
            <w:rPr>
              <w:rFonts w:hint="eastAsia" w:ascii="宋体" w:hAnsi="宋体" w:eastAsia="宋体" w:cs="宋体"/>
              <w:sz w:val="24"/>
              <w:szCs w:val="21"/>
            </w:rPr>
            <w:fldChar w:fldCharType="separate"/>
          </w:r>
          <w:r>
            <w:rPr>
              <w:rFonts w:hint="eastAsia" w:ascii="宋体" w:hAnsi="宋体" w:eastAsia="宋体" w:cs="宋体"/>
              <w:sz w:val="24"/>
              <w:szCs w:val="21"/>
            </w:rPr>
            <w:t>17</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_Toc29232 </w:instrText>
          </w:r>
          <w:r>
            <w:rPr>
              <w:rFonts w:hint="eastAsia" w:ascii="宋体" w:hAnsi="宋体" w:eastAsia="宋体" w:cs="宋体"/>
              <w:bCs/>
              <w:sz w:val="24"/>
              <w:szCs w:val="24"/>
            </w:rPr>
            <w:fldChar w:fldCharType="separate"/>
          </w:r>
          <w:r>
            <w:rPr>
              <w:rFonts w:hint="eastAsia" w:ascii="宋体" w:hAnsi="宋体" w:eastAsia="宋体" w:cs="宋体"/>
              <w:sz w:val="24"/>
              <w:szCs w:val="28"/>
              <w:shd w:val="clear" w:color="auto" w:fill="FFFFFF"/>
            </w:rPr>
            <w:t>文法学院2023年度业绩简表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_Toc29232 \h </w:instrText>
          </w:r>
          <w:r>
            <w:rPr>
              <w:rFonts w:hint="eastAsia" w:ascii="宋体" w:hAnsi="宋体" w:eastAsia="宋体" w:cs="宋体"/>
              <w:sz w:val="24"/>
              <w:szCs w:val="21"/>
            </w:rPr>
            <w:fldChar w:fldCharType="separate"/>
          </w:r>
          <w:r>
            <w:rPr>
              <w:rFonts w:hint="eastAsia" w:ascii="宋体" w:hAnsi="宋体" w:eastAsia="宋体" w:cs="宋体"/>
              <w:sz w:val="24"/>
              <w:szCs w:val="21"/>
            </w:rPr>
            <w:t>19</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_Toc12632 </w:instrText>
          </w:r>
          <w:r>
            <w:rPr>
              <w:rFonts w:hint="eastAsia" w:ascii="宋体" w:hAnsi="宋体" w:eastAsia="宋体" w:cs="宋体"/>
              <w:bCs/>
              <w:sz w:val="24"/>
              <w:szCs w:val="24"/>
            </w:rPr>
            <w:fldChar w:fldCharType="separate"/>
          </w:r>
          <w:r>
            <w:rPr>
              <w:rFonts w:hint="eastAsia" w:ascii="宋体" w:hAnsi="宋体" w:eastAsia="宋体" w:cs="宋体"/>
              <w:sz w:val="24"/>
              <w:szCs w:val="21"/>
              <w:shd w:val="clear" w:color="auto" w:fill="FFFFFF"/>
            </w:rPr>
            <w:t>外国语学院2023年度业绩简表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_Toc12632 \h </w:instrText>
          </w:r>
          <w:r>
            <w:rPr>
              <w:rFonts w:hint="eastAsia" w:ascii="宋体" w:hAnsi="宋体" w:eastAsia="宋体" w:cs="宋体"/>
              <w:sz w:val="24"/>
              <w:szCs w:val="21"/>
            </w:rPr>
            <w:fldChar w:fldCharType="separate"/>
          </w:r>
          <w:r>
            <w:rPr>
              <w:rFonts w:hint="eastAsia" w:ascii="宋体" w:hAnsi="宋体" w:eastAsia="宋体" w:cs="宋体"/>
              <w:sz w:val="24"/>
              <w:szCs w:val="21"/>
            </w:rPr>
            <w:t>21</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_Toc17558 </w:instrText>
          </w:r>
          <w:r>
            <w:rPr>
              <w:rFonts w:hint="eastAsia" w:ascii="宋体" w:hAnsi="宋体" w:eastAsia="宋体" w:cs="宋体"/>
              <w:bCs/>
              <w:sz w:val="24"/>
              <w:szCs w:val="24"/>
            </w:rPr>
            <w:fldChar w:fldCharType="separate"/>
          </w:r>
          <w:r>
            <w:rPr>
              <w:rFonts w:hint="eastAsia" w:ascii="宋体" w:hAnsi="宋体" w:eastAsia="宋体" w:cs="宋体"/>
              <w:sz w:val="24"/>
              <w:szCs w:val="21"/>
              <w:shd w:val="clear" w:color="auto" w:fill="FFFFFF"/>
            </w:rPr>
            <w:t>管理学院2023年度业绩简表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_Toc17558 \h </w:instrText>
          </w:r>
          <w:r>
            <w:rPr>
              <w:rFonts w:hint="eastAsia" w:ascii="宋体" w:hAnsi="宋体" w:eastAsia="宋体" w:cs="宋体"/>
              <w:sz w:val="24"/>
              <w:szCs w:val="21"/>
            </w:rPr>
            <w:fldChar w:fldCharType="separate"/>
          </w:r>
          <w:r>
            <w:rPr>
              <w:rFonts w:hint="eastAsia" w:ascii="宋体" w:hAnsi="宋体" w:eastAsia="宋体" w:cs="宋体"/>
              <w:sz w:val="24"/>
              <w:szCs w:val="21"/>
            </w:rPr>
            <w:t>23</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_Toc32173 </w:instrText>
          </w:r>
          <w:r>
            <w:rPr>
              <w:rFonts w:hint="eastAsia" w:ascii="宋体" w:hAnsi="宋体" w:eastAsia="宋体" w:cs="宋体"/>
              <w:bCs/>
              <w:sz w:val="24"/>
              <w:szCs w:val="24"/>
            </w:rPr>
            <w:fldChar w:fldCharType="separate"/>
          </w:r>
          <w:r>
            <w:rPr>
              <w:rFonts w:hint="eastAsia" w:ascii="宋体" w:hAnsi="宋体" w:eastAsia="宋体" w:cs="宋体"/>
              <w:sz w:val="24"/>
              <w:szCs w:val="28"/>
            </w:rPr>
            <w:t>仪器科学与光电工程学院</w:t>
          </w:r>
          <w:r>
            <w:rPr>
              <w:rFonts w:hint="eastAsia" w:ascii="宋体" w:hAnsi="宋体" w:eastAsia="宋体" w:cs="宋体"/>
              <w:sz w:val="24"/>
              <w:szCs w:val="28"/>
              <w:shd w:val="clear" w:color="auto" w:fill="FFFFFF"/>
            </w:rPr>
            <w:t>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_Toc32173 \h </w:instrText>
          </w:r>
          <w:r>
            <w:rPr>
              <w:rFonts w:hint="eastAsia" w:ascii="宋体" w:hAnsi="宋体" w:eastAsia="宋体" w:cs="宋体"/>
              <w:sz w:val="24"/>
              <w:szCs w:val="21"/>
            </w:rPr>
            <w:fldChar w:fldCharType="separate"/>
          </w:r>
          <w:r>
            <w:rPr>
              <w:rFonts w:hint="eastAsia" w:ascii="宋体" w:hAnsi="宋体" w:eastAsia="宋体" w:cs="宋体"/>
              <w:sz w:val="24"/>
              <w:szCs w:val="21"/>
            </w:rPr>
            <w:t>25</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_Toc2849 </w:instrText>
          </w:r>
          <w:r>
            <w:rPr>
              <w:rFonts w:hint="eastAsia" w:ascii="宋体" w:hAnsi="宋体" w:eastAsia="宋体" w:cs="宋体"/>
              <w:bCs/>
              <w:sz w:val="24"/>
              <w:szCs w:val="24"/>
            </w:rPr>
            <w:fldChar w:fldCharType="separate"/>
          </w:r>
          <w:r>
            <w:rPr>
              <w:rFonts w:hint="eastAsia" w:ascii="宋体" w:hAnsi="宋体" w:eastAsia="宋体" w:cs="宋体"/>
              <w:sz w:val="24"/>
              <w:szCs w:val="28"/>
              <w:lang w:eastAsia="zh-CN"/>
            </w:rPr>
            <w:t>建筑与艺术</w:t>
          </w:r>
          <w:r>
            <w:rPr>
              <w:rFonts w:hint="eastAsia" w:ascii="宋体" w:hAnsi="宋体" w:eastAsia="宋体" w:cs="宋体"/>
              <w:sz w:val="24"/>
              <w:szCs w:val="28"/>
            </w:rPr>
            <w:t>学院</w:t>
          </w:r>
          <w:r>
            <w:rPr>
              <w:rFonts w:hint="eastAsia" w:ascii="宋体" w:hAnsi="宋体" w:eastAsia="宋体" w:cs="宋体"/>
              <w:sz w:val="24"/>
              <w:szCs w:val="28"/>
              <w:shd w:val="clear" w:color="auto" w:fill="FFFFFF"/>
            </w:rPr>
            <w:t>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_Toc2849 \h </w:instrText>
          </w:r>
          <w:r>
            <w:rPr>
              <w:rFonts w:hint="eastAsia" w:ascii="宋体" w:hAnsi="宋体" w:eastAsia="宋体" w:cs="宋体"/>
              <w:sz w:val="24"/>
              <w:szCs w:val="21"/>
            </w:rPr>
            <w:fldChar w:fldCharType="separate"/>
          </w:r>
          <w:r>
            <w:rPr>
              <w:rFonts w:hint="eastAsia" w:ascii="宋体" w:hAnsi="宋体" w:eastAsia="宋体" w:cs="宋体"/>
              <w:sz w:val="24"/>
              <w:szCs w:val="21"/>
            </w:rPr>
            <w:t>27</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_Toc17676 </w:instrText>
          </w:r>
          <w:r>
            <w:rPr>
              <w:rFonts w:hint="eastAsia" w:ascii="宋体" w:hAnsi="宋体" w:eastAsia="宋体" w:cs="宋体"/>
              <w:bCs/>
              <w:sz w:val="24"/>
              <w:szCs w:val="24"/>
            </w:rPr>
            <w:fldChar w:fldCharType="separate"/>
          </w:r>
          <w:r>
            <w:rPr>
              <w:rFonts w:hint="eastAsia" w:ascii="宋体" w:hAnsi="宋体" w:eastAsia="宋体" w:cs="宋体"/>
              <w:sz w:val="24"/>
              <w:szCs w:val="28"/>
            </w:rPr>
            <w:t>资源与环境工程学院</w:t>
          </w:r>
          <w:r>
            <w:rPr>
              <w:rFonts w:hint="eastAsia" w:ascii="宋体" w:hAnsi="宋体" w:eastAsia="宋体" w:cs="宋体"/>
              <w:sz w:val="24"/>
              <w:szCs w:val="28"/>
              <w:shd w:val="clear" w:color="auto" w:fill="FFFFFF"/>
            </w:rPr>
            <w:t>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_Toc17676 \h </w:instrText>
          </w:r>
          <w:r>
            <w:rPr>
              <w:rFonts w:hint="eastAsia" w:ascii="宋体" w:hAnsi="宋体" w:eastAsia="宋体" w:cs="宋体"/>
              <w:sz w:val="24"/>
              <w:szCs w:val="21"/>
            </w:rPr>
            <w:fldChar w:fldCharType="separate"/>
          </w:r>
          <w:r>
            <w:rPr>
              <w:rFonts w:hint="eastAsia" w:ascii="宋体" w:hAnsi="宋体" w:eastAsia="宋体" w:cs="宋体"/>
              <w:sz w:val="24"/>
              <w:szCs w:val="21"/>
            </w:rPr>
            <w:t>29</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_Toc2856 </w:instrText>
          </w:r>
          <w:r>
            <w:rPr>
              <w:rFonts w:hint="eastAsia" w:ascii="宋体" w:hAnsi="宋体" w:eastAsia="宋体" w:cs="宋体"/>
              <w:bCs/>
              <w:sz w:val="24"/>
              <w:szCs w:val="24"/>
            </w:rPr>
            <w:fldChar w:fldCharType="separate"/>
          </w:r>
          <w:r>
            <w:rPr>
              <w:rFonts w:hint="eastAsia" w:ascii="宋体" w:hAnsi="宋体" w:eastAsia="宋体" w:cs="宋体"/>
              <w:sz w:val="24"/>
              <w:szCs w:val="28"/>
            </w:rPr>
            <w:t>食品与生物工程学院</w:t>
          </w:r>
          <w:r>
            <w:rPr>
              <w:rFonts w:hint="eastAsia" w:ascii="宋体" w:hAnsi="宋体" w:eastAsia="宋体" w:cs="宋体"/>
              <w:sz w:val="24"/>
              <w:szCs w:val="28"/>
              <w:shd w:val="clear" w:color="auto" w:fill="FFFFFF"/>
            </w:rPr>
            <w:t>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_Toc2856 \h </w:instrText>
          </w:r>
          <w:r>
            <w:rPr>
              <w:rFonts w:hint="eastAsia" w:ascii="宋体" w:hAnsi="宋体" w:eastAsia="宋体" w:cs="宋体"/>
              <w:sz w:val="24"/>
              <w:szCs w:val="21"/>
            </w:rPr>
            <w:fldChar w:fldCharType="separate"/>
          </w:r>
          <w:r>
            <w:rPr>
              <w:rFonts w:hint="eastAsia" w:ascii="宋体" w:hAnsi="宋体" w:eastAsia="宋体" w:cs="宋体"/>
              <w:sz w:val="24"/>
              <w:szCs w:val="21"/>
            </w:rPr>
            <w:t>31</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_Toc19762 </w:instrText>
          </w:r>
          <w:r>
            <w:rPr>
              <w:rFonts w:hint="eastAsia" w:ascii="宋体" w:hAnsi="宋体" w:eastAsia="宋体" w:cs="宋体"/>
              <w:bCs/>
              <w:sz w:val="24"/>
              <w:szCs w:val="24"/>
            </w:rPr>
            <w:fldChar w:fldCharType="separate"/>
          </w:r>
          <w:r>
            <w:rPr>
              <w:rFonts w:hint="eastAsia" w:ascii="宋体" w:hAnsi="宋体" w:eastAsia="宋体" w:cs="宋体"/>
              <w:sz w:val="24"/>
              <w:szCs w:val="28"/>
            </w:rPr>
            <w:t>数学学院</w:t>
          </w:r>
          <w:r>
            <w:rPr>
              <w:rFonts w:hint="eastAsia" w:ascii="宋体" w:hAnsi="宋体" w:eastAsia="宋体" w:cs="宋体"/>
              <w:sz w:val="24"/>
              <w:szCs w:val="28"/>
              <w:shd w:val="clear" w:color="auto" w:fill="FFFFFF"/>
            </w:rPr>
            <w:t>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_Toc19762 \h </w:instrText>
          </w:r>
          <w:r>
            <w:rPr>
              <w:rFonts w:hint="eastAsia" w:ascii="宋体" w:hAnsi="宋体" w:eastAsia="宋体" w:cs="宋体"/>
              <w:sz w:val="24"/>
              <w:szCs w:val="21"/>
            </w:rPr>
            <w:fldChar w:fldCharType="separate"/>
          </w:r>
          <w:r>
            <w:rPr>
              <w:rFonts w:hint="eastAsia" w:ascii="宋体" w:hAnsi="宋体" w:eastAsia="宋体" w:cs="宋体"/>
              <w:sz w:val="24"/>
              <w:szCs w:val="21"/>
            </w:rPr>
            <w:t>33</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_Toc14888 </w:instrText>
          </w:r>
          <w:r>
            <w:rPr>
              <w:rFonts w:hint="eastAsia" w:ascii="宋体" w:hAnsi="宋体" w:eastAsia="宋体" w:cs="宋体"/>
              <w:bCs/>
              <w:sz w:val="24"/>
              <w:szCs w:val="24"/>
            </w:rPr>
            <w:fldChar w:fldCharType="separate"/>
          </w:r>
          <w:r>
            <w:rPr>
              <w:rFonts w:hint="eastAsia" w:ascii="宋体" w:hAnsi="宋体" w:eastAsia="宋体" w:cs="宋体"/>
              <w:sz w:val="24"/>
              <w:szCs w:val="28"/>
            </w:rPr>
            <w:t>微电子学院</w:t>
          </w:r>
          <w:r>
            <w:rPr>
              <w:rFonts w:hint="eastAsia" w:ascii="宋体" w:hAnsi="宋体" w:eastAsia="宋体" w:cs="宋体"/>
              <w:sz w:val="24"/>
              <w:szCs w:val="28"/>
              <w:shd w:val="clear" w:color="auto" w:fill="FFFFFF"/>
            </w:rPr>
            <w:t>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_Toc14888 \h </w:instrText>
          </w:r>
          <w:r>
            <w:rPr>
              <w:rFonts w:hint="eastAsia" w:ascii="宋体" w:hAnsi="宋体" w:eastAsia="宋体" w:cs="宋体"/>
              <w:sz w:val="24"/>
              <w:szCs w:val="21"/>
            </w:rPr>
            <w:fldChar w:fldCharType="separate"/>
          </w:r>
          <w:r>
            <w:rPr>
              <w:rFonts w:hint="eastAsia" w:ascii="宋体" w:hAnsi="宋体" w:eastAsia="宋体" w:cs="宋体"/>
              <w:sz w:val="24"/>
              <w:szCs w:val="21"/>
            </w:rPr>
            <w:t>35</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_Toc18805 </w:instrText>
          </w:r>
          <w:r>
            <w:rPr>
              <w:rFonts w:hint="eastAsia" w:ascii="宋体" w:hAnsi="宋体" w:eastAsia="宋体" w:cs="宋体"/>
              <w:bCs/>
              <w:sz w:val="24"/>
              <w:szCs w:val="24"/>
            </w:rPr>
            <w:fldChar w:fldCharType="separate"/>
          </w:r>
          <w:r>
            <w:rPr>
              <w:rFonts w:hint="eastAsia" w:ascii="宋体" w:hAnsi="宋体" w:eastAsia="宋体" w:cs="宋体"/>
              <w:sz w:val="24"/>
              <w:szCs w:val="28"/>
              <w:lang w:eastAsia="zh-CN"/>
            </w:rPr>
            <w:t>物理</w:t>
          </w:r>
          <w:r>
            <w:rPr>
              <w:rFonts w:hint="eastAsia" w:ascii="宋体" w:hAnsi="宋体" w:eastAsia="宋体" w:cs="宋体"/>
              <w:sz w:val="24"/>
              <w:szCs w:val="28"/>
            </w:rPr>
            <w:t>学院</w:t>
          </w:r>
          <w:r>
            <w:rPr>
              <w:rFonts w:hint="eastAsia" w:ascii="宋体" w:hAnsi="宋体" w:eastAsia="宋体" w:cs="宋体"/>
              <w:sz w:val="24"/>
              <w:szCs w:val="28"/>
              <w:shd w:val="clear" w:color="auto" w:fill="FFFFFF"/>
            </w:rPr>
            <w:t>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_Toc18805 \h </w:instrText>
          </w:r>
          <w:r>
            <w:rPr>
              <w:rFonts w:hint="eastAsia" w:ascii="宋体" w:hAnsi="宋体" w:eastAsia="宋体" w:cs="宋体"/>
              <w:sz w:val="24"/>
              <w:szCs w:val="21"/>
            </w:rPr>
            <w:fldChar w:fldCharType="separate"/>
          </w:r>
          <w:r>
            <w:rPr>
              <w:rFonts w:hint="eastAsia" w:ascii="宋体" w:hAnsi="宋体" w:eastAsia="宋体" w:cs="宋体"/>
              <w:sz w:val="24"/>
              <w:szCs w:val="21"/>
            </w:rPr>
            <w:t>37</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_Toc2733 </w:instrText>
          </w:r>
          <w:r>
            <w:rPr>
              <w:rFonts w:hint="eastAsia" w:ascii="宋体" w:hAnsi="宋体" w:eastAsia="宋体" w:cs="宋体"/>
              <w:bCs/>
              <w:sz w:val="24"/>
              <w:szCs w:val="24"/>
            </w:rPr>
            <w:fldChar w:fldCharType="separate"/>
          </w:r>
          <w:r>
            <w:rPr>
              <w:rFonts w:hint="eastAsia" w:ascii="宋体" w:hAnsi="宋体" w:eastAsia="宋体" w:cs="宋体"/>
              <w:sz w:val="24"/>
              <w:szCs w:val="21"/>
              <w:shd w:val="clear" w:color="auto" w:fill="FFFFFF"/>
            </w:rPr>
            <w:t>汽车与交通工程学院2023年度业绩简表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_Toc2733 \h </w:instrText>
          </w:r>
          <w:r>
            <w:rPr>
              <w:rFonts w:hint="eastAsia" w:ascii="宋体" w:hAnsi="宋体" w:eastAsia="宋体" w:cs="宋体"/>
              <w:sz w:val="24"/>
              <w:szCs w:val="21"/>
            </w:rPr>
            <w:fldChar w:fldCharType="separate"/>
          </w:r>
          <w:r>
            <w:rPr>
              <w:rFonts w:hint="eastAsia" w:ascii="宋体" w:hAnsi="宋体" w:eastAsia="宋体" w:cs="宋体"/>
              <w:sz w:val="24"/>
              <w:szCs w:val="21"/>
            </w:rPr>
            <w:t>39</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_Toc25756 </w:instrText>
          </w:r>
          <w:r>
            <w:rPr>
              <w:rFonts w:hint="eastAsia" w:ascii="宋体" w:hAnsi="宋体" w:eastAsia="宋体" w:cs="宋体"/>
              <w:bCs/>
              <w:sz w:val="24"/>
              <w:szCs w:val="24"/>
            </w:rPr>
            <w:fldChar w:fldCharType="separate"/>
          </w:r>
          <w:r>
            <w:rPr>
              <w:rFonts w:hint="eastAsia" w:ascii="宋体" w:hAnsi="宋体" w:eastAsia="宋体" w:cs="宋体"/>
              <w:sz w:val="24"/>
              <w:szCs w:val="21"/>
              <w:shd w:val="clear" w:color="auto" w:fill="FFFFFF"/>
            </w:rPr>
            <w:t>体育部2023年度业绩简表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_Toc25756 \h </w:instrText>
          </w:r>
          <w:r>
            <w:rPr>
              <w:rFonts w:hint="eastAsia" w:ascii="宋体" w:hAnsi="宋体" w:eastAsia="宋体" w:cs="宋体"/>
              <w:sz w:val="24"/>
              <w:szCs w:val="21"/>
            </w:rPr>
            <w:fldChar w:fldCharType="separate"/>
          </w:r>
          <w:r>
            <w:rPr>
              <w:rFonts w:hint="eastAsia" w:ascii="宋体" w:hAnsi="宋体" w:eastAsia="宋体" w:cs="宋体"/>
              <w:sz w:val="24"/>
              <w:szCs w:val="21"/>
            </w:rPr>
            <w:t>41</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_Toc32059 </w:instrText>
          </w:r>
          <w:r>
            <w:rPr>
              <w:rFonts w:hint="eastAsia" w:ascii="宋体" w:hAnsi="宋体" w:eastAsia="宋体" w:cs="宋体"/>
              <w:bCs/>
              <w:sz w:val="24"/>
              <w:szCs w:val="24"/>
            </w:rPr>
            <w:fldChar w:fldCharType="separate"/>
          </w:r>
          <w:r>
            <w:rPr>
              <w:rFonts w:hint="eastAsia" w:ascii="宋体" w:hAnsi="宋体" w:eastAsia="宋体" w:cs="宋体"/>
              <w:sz w:val="24"/>
              <w:szCs w:val="28"/>
            </w:rPr>
            <w:t>国际教育学</w:t>
          </w:r>
          <w:bookmarkStart w:id="33" w:name="_GoBack"/>
          <w:bookmarkEnd w:id="33"/>
          <w:r>
            <w:rPr>
              <w:rFonts w:hint="eastAsia" w:ascii="宋体" w:hAnsi="宋体" w:eastAsia="宋体" w:cs="宋体"/>
              <w:sz w:val="24"/>
              <w:szCs w:val="28"/>
            </w:rPr>
            <w:t>院</w:t>
          </w:r>
          <w:r>
            <w:rPr>
              <w:rFonts w:hint="eastAsia" w:ascii="宋体" w:hAnsi="宋体" w:eastAsia="宋体" w:cs="宋体"/>
              <w:sz w:val="24"/>
              <w:szCs w:val="28"/>
              <w:shd w:val="clear" w:color="auto" w:fill="FFFFFF"/>
            </w:rPr>
            <w:t>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_Toc32059 \h </w:instrText>
          </w:r>
          <w:r>
            <w:rPr>
              <w:rFonts w:hint="eastAsia" w:ascii="宋体" w:hAnsi="宋体" w:eastAsia="宋体" w:cs="宋体"/>
              <w:sz w:val="24"/>
              <w:szCs w:val="21"/>
            </w:rPr>
            <w:fldChar w:fldCharType="separate"/>
          </w:r>
          <w:r>
            <w:rPr>
              <w:rFonts w:hint="eastAsia" w:ascii="宋体" w:hAnsi="宋体" w:eastAsia="宋体" w:cs="宋体"/>
              <w:sz w:val="24"/>
              <w:szCs w:val="21"/>
            </w:rPr>
            <w:t>43</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_Toc645 </w:instrText>
          </w:r>
          <w:r>
            <w:rPr>
              <w:rFonts w:hint="eastAsia" w:ascii="宋体" w:hAnsi="宋体" w:eastAsia="宋体" w:cs="宋体"/>
              <w:bCs/>
              <w:sz w:val="24"/>
              <w:szCs w:val="24"/>
            </w:rPr>
            <w:fldChar w:fldCharType="separate"/>
          </w:r>
          <w:r>
            <w:rPr>
              <w:rFonts w:hint="eastAsia" w:ascii="宋体" w:hAnsi="宋体" w:eastAsia="宋体" w:cs="宋体"/>
              <w:sz w:val="24"/>
              <w:szCs w:val="28"/>
              <w:shd w:val="clear" w:color="auto" w:fill="FFFFFF"/>
            </w:rPr>
            <w:t>光电技术研究院2023年度业绩简表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_Toc645 \h </w:instrText>
          </w:r>
          <w:r>
            <w:rPr>
              <w:rFonts w:hint="eastAsia" w:ascii="宋体" w:hAnsi="宋体" w:eastAsia="宋体" w:cs="宋体"/>
              <w:sz w:val="24"/>
              <w:szCs w:val="21"/>
            </w:rPr>
            <w:fldChar w:fldCharType="separate"/>
          </w:r>
          <w:r>
            <w:rPr>
              <w:rFonts w:hint="eastAsia" w:ascii="宋体" w:hAnsi="宋体" w:eastAsia="宋体" w:cs="宋体"/>
              <w:sz w:val="24"/>
              <w:szCs w:val="21"/>
            </w:rPr>
            <w:t>45</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_Toc32228 </w:instrText>
          </w:r>
          <w:r>
            <w:rPr>
              <w:rFonts w:hint="eastAsia" w:ascii="宋体" w:hAnsi="宋体" w:eastAsia="宋体" w:cs="宋体"/>
              <w:bCs/>
              <w:sz w:val="24"/>
              <w:szCs w:val="24"/>
            </w:rPr>
            <w:fldChar w:fldCharType="separate"/>
          </w:r>
          <w:r>
            <w:rPr>
              <w:rFonts w:hint="eastAsia" w:ascii="宋体" w:hAnsi="宋体" w:eastAsia="宋体" w:cs="宋体"/>
              <w:kern w:val="0"/>
              <w:sz w:val="24"/>
              <w:szCs w:val="28"/>
            </w:rPr>
            <w:t>汽车工程技术研究院</w:t>
          </w:r>
          <w:r>
            <w:rPr>
              <w:rFonts w:hint="eastAsia" w:ascii="宋体" w:hAnsi="宋体" w:eastAsia="宋体" w:cs="宋体"/>
              <w:sz w:val="24"/>
              <w:szCs w:val="28"/>
              <w:shd w:val="clear" w:color="auto" w:fill="FFFFFF"/>
            </w:rPr>
            <w:t>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_Toc32228 \h </w:instrText>
          </w:r>
          <w:r>
            <w:rPr>
              <w:rFonts w:hint="eastAsia" w:ascii="宋体" w:hAnsi="宋体" w:eastAsia="宋体" w:cs="宋体"/>
              <w:sz w:val="24"/>
              <w:szCs w:val="21"/>
            </w:rPr>
            <w:fldChar w:fldCharType="separate"/>
          </w:r>
          <w:r>
            <w:rPr>
              <w:rFonts w:hint="eastAsia" w:ascii="宋体" w:hAnsi="宋体" w:eastAsia="宋体" w:cs="宋体"/>
              <w:sz w:val="24"/>
              <w:szCs w:val="21"/>
            </w:rPr>
            <w:t>46</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pStyle w:val="11"/>
            <w:tabs>
              <w:tab w:val="right" w:leader="dot" w:pos="8306"/>
            </w:tabs>
            <w:rPr>
              <w:rFonts w:hint="eastAsia" w:ascii="宋体" w:hAnsi="宋体" w:eastAsia="宋体" w:cs="宋体"/>
              <w:sz w:val="24"/>
              <w:szCs w:val="21"/>
            </w:rPr>
          </w:pP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\l _Toc16384 </w:instrText>
          </w:r>
          <w:r>
            <w:rPr>
              <w:rFonts w:hint="eastAsia" w:ascii="宋体" w:hAnsi="宋体" w:eastAsia="宋体" w:cs="宋体"/>
              <w:bCs/>
              <w:sz w:val="24"/>
              <w:szCs w:val="24"/>
            </w:rPr>
            <w:fldChar w:fldCharType="separate"/>
          </w:r>
          <w:r>
            <w:rPr>
              <w:rFonts w:hint="eastAsia" w:ascii="宋体" w:hAnsi="宋体" w:eastAsia="宋体" w:cs="宋体"/>
              <w:kern w:val="0"/>
              <w:sz w:val="24"/>
              <w:szCs w:val="28"/>
            </w:rPr>
            <w:t>工业装备与技术研究院</w:t>
          </w:r>
          <w:r>
            <w:rPr>
              <w:rFonts w:hint="eastAsia" w:ascii="宋体" w:hAnsi="宋体" w:eastAsia="宋体" w:cs="宋体"/>
              <w:sz w:val="24"/>
              <w:szCs w:val="28"/>
              <w:shd w:val="clear" w:color="auto" w:fill="FFFFFF"/>
            </w:rPr>
            <w:t>2023年度业绩简表</w:t>
          </w:r>
          <w:r>
            <w:rPr>
              <w:rFonts w:hint="eastAsia" w:ascii="宋体" w:hAnsi="宋体" w:eastAsia="宋体" w:cs="宋体"/>
              <w:sz w:val="24"/>
              <w:szCs w:val="21"/>
            </w:rPr>
            <w:tab/>
          </w:r>
          <w:r>
            <w:rPr>
              <w:rFonts w:hint="eastAsia" w:ascii="宋体" w:hAnsi="宋体" w:eastAsia="宋体" w:cs="宋体"/>
              <w:sz w:val="24"/>
              <w:szCs w:val="21"/>
            </w:rPr>
            <w:fldChar w:fldCharType="begin"/>
          </w:r>
          <w:r>
            <w:rPr>
              <w:rFonts w:hint="eastAsia" w:ascii="宋体" w:hAnsi="宋体" w:eastAsia="宋体" w:cs="宋体"/>
              <w:sz w:val="24"/>
              <w:szCs w:val="21"/>
            </w:rPr>
            <w:instrText xml:space="preserve"> PAGEREF _Toc16384 \h </w:instrText>
          </w:r>
          <w:r>
            <w:rPr>
              <w:rFonts w:hint="eastAsia" w:ascii="宋体" w:hAnsi="宋体" w:eastAsia="宋体" w:cs="宋体"/>
              <w:sz w:val="24"/>
              <w:szCs w:val="21"/>
            </w:rPr>
            <w:fldChar w:fldCharType="separate"/>
          </w:r>
          <w:r>
            <w:rPr>
              <w:rFonts w:hint="eastAsia" w:ascii="宋体" w:hAnsi="宋体" w:eastAsia="宋体" w:cs="宋体"/>
              <w:sz w:val="24"/>
              <w:szCs w:val="21"/>
            </w:rPr>
            <w:t>47</w:t>
          </w:r>
          <w:r>
            <w:rPr>
              <w:rFonts w:hint="eastAsia" w:ascii="宋体" w:hAnsi="宋体" w:eastAsia="宋体" w:cs="宋体"/>
              <w:sz w:val="24"/>
              <w:szCs w:val="21"/>
            </w:rPr>
            <w:fldChar w:fldCharType="end"/>
          </w:r>
          <w:r>
            <w:rPr>
              <w:rFonts w:hint="eastAsia" w:ascii="宋体" w:hAnsi="宋体" w:eastAsia="宋体" w:cs="宋体"/>
              <w:bCs/>
              <w:sz w:val="24"/>
              <w:szCs w:val="24"/>
            </w:rPr>
            <w:fldChar w:fldCharType="end"/>
          </w:r>
        </w:p>
        <w:p>
          <w:pPr>
            <w:spacing w:line="400" w:lineRule="exact"/>
            <w:rPr>
              <w:rFonts w:asciiTheme="majorEastAsia" w:hAnsiTheme="majorEastAsia" w:eastAsiaTheme="majorEastAsia" w:cstheme="majorEastAsia"/>
              <w:b/>
              <w:bCs/>
              <w:szCs w:val="28"/>
            </w:rPr>
          </w:pPr>
          <w:r>
            <w:rPr>
              <w:rFonts w:hint="eastAsia" w:ascii="宋体" w:hAnsi="宋体" w:eastAsia="宋体" w:cs="宋体"/>
              <w:bCs/>
              <w:sz w:val="24"/>
              <w:szCs w:val="24"/>
            </w:rPr>
            <w:fldChar w:fldCharType="end"/>
          </w:r>
        </w:p>
      </w:sdtContent>
    </w:sdt>
    <w:p>
      <w:pPr>
        <w:spacing w:line="400" w:lineRule="exact"/>
        <w:rPr>
          <w:b/>
          <w:bCs/>
          <w:sz w:val="24"/>
          <w:szCs w:val="24"/>
          <w:shd w:val="clear" w:color="auto" w:fill="FFFFFF"/>
        </w:rPr>
      </w:pPr>
    </w:p>
    <w:p>
      <w:pPr>
        <w:spacing w:line="400" w:lineRule="exact"/>
        <w:rPr>
          <w:b/>
          <w:bCs/>
          <w:sz w:val="24"/>
          <w:szCs w:val="24"/>
          <w:shd w:val="clear" w:color="auto" w:fill="FFFFFF"/>
        </w:rPr>
      </w:pPr>
    </w:p>
    <w:p>
      <w:pPr>
        <w:spacing w:line="400" w:lineRule="exact"/>
        <w:rPr>
          <w:b/>
          <w:bCs/>
          <w:sz w:val="24"/>
          <w:szCs w:val="24"/>
          <w:shd w:val="clear" w:color="auto" w:fill="FFFFFF"/>
        </w:rPr>
        <w:sectPr>
          <w:footerReference r:id="rId6" w:type="first"/>
          <w:footerReference r:id="rId5" w:type="default"/>
          <w:pgSz w:w="11906" w:h="16838"/>
          <w:pgMar w:top="1440" w:right="1800" w:bottom="1440" w:left="1800" w:header="851" w:footer="992" w:gutter="0"/>
          <w:pgNumType w:start="1"/>
          <w:cols w:space="425" w:num="1"/>
          <w:titlePg/>
          <w:docGrid w:type="lines" w:linePitch="381" w:charSpace="0"/>
        </w:sectPr>
      </w:pPr>
    </w:p>
    <w:p>
      <w:pPr>
        <w:pStyle w:val="4"/>
        <w:spacing w:line="579" w:lineRule="auto"/>
        <w:rPr>
          <w:shd w:val="clear" w:color="auto" w:fill="FFFFFF"/>
        </w:rPr>
      </w:pPr>
      <w:bookmarkStart w:id="1" w:name="_Toc3397"/>
      <w:r>
        <w:rPr>
          <w:rFonts w:hint="eastAsia"/>
          <w:shd w:val="clear" w:color="auto" w:fill="FFFFFF"/>
        </w:rPr>
        <w:t>机械工程学院2023年度业绩简表</w:t>
      </w:r>
      <w:bookmarkEnd w:id="0"/>
      <w:bookmarkEnd w:id="1"/>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单位名称</w:t>
            </w:r>
          </w:p>
        </w:tc>
        <w:tc>
          <w:tcPr>
            <w:tcW w:w="2976" w:type="dxa"/>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机械工程学院</w:t>
            </w:r>
          </w:p>
        </w:tc>
        <w:tc>
          <w:tcPr>
            <w:tcW w:w="1747" w:type="dxa"/>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单位职工数</w:t>
            </w:r>
          </w:p>
        </w:tc>
        <w:tc>
          <w:tcPr>
            <w:tcW w:w="2131" w:type="dxa"/>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482" w:firstLineChars="200"/>
              <w:textAlignment w:val="auto"/>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一、党建工作统领全局，全面推进学院党建高质量发展。</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w:t>
            </w: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院党委切实履行主体责任，全面推进落实学习贯彻习近平新时代中国特色社会主义思想主题教育。制定实施方案和任务清单，统筹推进主题教育。购买学习资料2100余册，实现670名师生党员发放全覆盖；召开主题教育专题民主生活会1场，主题教育专题组织生活会28场，推动整改工作与学院改革和事业发展同频共振。</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2.机械设计系教工党支部和本科生第一党支部获批安徽省第三批新时代高校党建示范创建和质量创优“样板支部”，真空与过程装备系教工党支部获批校“双带头人”教师党支部书记工作室并申报安徽省高校“双带头人”教师党支部书记工作室。校级党支部特色活动项目结项1项、立项2项。</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3.2023年，年内发展学生预备党员110人，发展教工预备党员2人，举办2期入党积极分子培训班，结业315人；认真做好216名毕业生党员材料的自查和转出工作，落实112名新生党员的组织关系接收工作。</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4.全面加强师德师风建设。编印《机械工程学院2023年师德集中学习汇编材料》。教职员工全员参加“师德集中学习教育”专题学习。获党风廉政宣传教育月活动优秀组织奖。</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5.本年度获批青年长江学者1人、海外优青1人、国务院特殊津贴1人。获批安徽省高端人才引育行动项目杰出人才1人、领军人才特聘教授1人、安徽省学术和技术带头人1人、安徽省学术和技术带头人后备人选1人。</w:t>
            </w:r>
          </w:p>
          <w:p>
            <w:pPr>
              <w:keepNext w:val="0"/>
              <w:keepLines w:val="0"/>
              <w:pageBreakBefore w:val="0"/>
              <w:widowControl w:val="0"/>
              <w:kinsoku/>
              <w:wordWrap/>
              <w:overflowPunct/>
              <w:topLinePunct w:val="0"/>
              <w:autoSpaceDE/>
              <w:autoSpaceDN/>
              <w:bidi w:val="0"/>
              <w:adjustRightInd w:val="0"/>
              <w:snapToGrid w:val="0"/>
              <w:spacing w:line="300" w:lineRule="exact"/>
              <w:ind w:firstLine="482" w:firstLineChars="200"/>
              <w:textAlignment w:val="auto"/>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二、全力以赴，做好人才培养工作，实现“一流人才”培养目标</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1.2023年本科招生1041人，毕业本科生1023人。研究生招收全日制学术硕士148人，全日制专硕174人，非全日制专硕8人；全日制学术博士26人、工程博士22人。</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2.创新创业工作成果丰厚，2023年学院获省部级以上大学生科技竞赛奖励209项（其中大学生竞赛排行榜赛事国家级奖72项），其中“互联网+”大赛获国家级银奖1项，省级金奖5项、银奖7项；“挑战杯”大赛获国家级三等奖1项。2023年国家级项目结题8项，其中优秀2项、良好3项；省级项目结题29项，其中优秀6项、良好12项；2023年获批国家级大学生创新训练计划项目13项，省级44项，校级92项。</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3.完成研究生导师资格审核、硕导遴选等相关工作，新增专职硕导7人、兼职硕导3人，专职学术型博导7人、兼职学术博导1人、工程博导5人，选聘工程硕士行业导师24人；完成专职硕导150人、兼职硕导36人、专职学术博导30人、兼职学术博导2人，工程博导16人、兼职工程博导1人的资格审核工作；</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4.获第三届全国高校教师教学创新大赛新工科正高组二等奖1项、学校青年教师教学基本功比赛一等奖1项，三等奖2项。获批战略性新兴领域（高端装备制造）“十四五”高等教育教材建设项目（牵头3本教材的撰写）。</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5.中外合作办学项目运行顺利，与英国伯明翰大学、美国纽约州立大学石溪分校、白俄罗斯工业大学的合作办学项目持续开展。本年度共有42名学生关注项目，协助外方合作院校开展线上答疑2次。学院领导前往白俄罗斯国立技术大学，看望慰问2020级和2021级在白学习的20余名同学，与白方达成了进一步深化合作的意向。</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6.教研项目与成果产出丰硕，遴选推荐省级质量工程项目10项：省级教学成果特等奖1项、一等奖1项，新建专业质量提升项目1项，线上线下混合式一流课程1门，规划教材1门，教材建设1门，示范实验实训中心项目1项，教学改革研究项目3项。</w:t>
            </w:r>
          </w:p>
          <w:p>
            <w:pPr>
              <w:keepNext w:val="0"/>
              <w:keepLines w:val="0"/>
              <w:pageBreakBefore w:val="0"/>
              <w:widowControl w:val="0"/>
              <w:kinsoku/>
              <w:wordWrap/>
              <w:overflowPunct/>
              <w:topLinePunct w:val="0"/>
              <w:autoSpaceDE/>
              <w:autoSpaceDN/>
              <w:bidi w:val="0"/>
              <w:adjustRightInd w:val="0"/>
              <w:snapToGrid w:val="0"/>
              <w:spacing w:line="300" w:lineRule="exact"/>
              <w:ind w:firstLine="482" w:firstLineChars="200"/>
              <w:textAlignment w:val="auto"/>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三、围绕研究型学院定位，推动学院科研内涵式发展</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1.2023年度我院主持申报国家自然科学基金54项，主持获批12项（其中基金重点项目1项、面上6项、青年5项），总直接经费680万元；主持获批国家重点研发计划课题2项、任务2项；参与获批国家发改委重大项目1项；参与获批安徽省科技重大专项项目2项、安徽省重点研究与开发计划项目2项；主持获批安徽省自然科学基金10项；获批学术新人提升计划项目14项。</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2.学院科研到账总经费达5344.1万元（纵向科研到账经费2750.5万元、横向科研到账经费2593.6万元）；2023年新增纵向项目66项（国家级21项、省部级20项）、横向项目72项（其中合同经费超过100万的项目7项），合同总经费6108.1万元。</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3.以第一完成单位获教育部技术发明一等奖1项、安徽省技术发明一等奖1项、科技进步一等奖1项、科技进步二等奖1项、科技进步三等奖1项。获批“机电产品低碳循环利用技术与装备安徽省重点实验室”，推进“真空-莱宝”共建实验室的建设。</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4．获批国家科学技术学术著作出版基金资助项目1项；发表学术论文254篇，其中高水平论文212篇、入选ESI高被引论文2篇。申请发明专利263项，获授权发明专利158项、实用新型专利22项、软件著作权获准登记25项。</w:t>
            </w:r>
          </w:p>
          <w:p>
            <w:pPr>
              <w:keepNext w:val="0"/>
              <w:keepLines w:val="0"/>
              <w:pageBreakBefore w:val="0"/>
              <w:widowControl w:val="0"/>
              <w:kinsoku/>
              <w:wordWrap/>
              <w:overflowPunct/>
              <w:topLinePunct w:val="0"/>
              <w:autoSpaceDE/>
              <w:autoSpaceDN/>
              <w:bidi w:val="0"/>
              <w:adjustRightInd w:val="0"/>
              <w:snapToGrid w:val="0"/>
              <w:spacing w:line="300" w:lineRule="exact"/>
              <w:ind w:firstLine="482" w:firstLineChars="200"/>
              <w:textAlignment w:val="auto"/>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四、深入推进“1568”学生思政计划，全面实现精深引领、精细指导、精心帮扶、精准提能</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1．深入开展立德树人工作，依托第二课堂成绩单，全面推进学生思想政治工作“1568”工程。获评“全省五四红旗团委”；获评2023年度“学生工作先进单位”、学生事务管理优秀奖。</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2．全年约谈重点关注学生300多人，普通学生2000余次，成功干预危机事件7起，保障平安学院建设。2023年争取院级社会捐资奖助学金7项60余万元。学生获省部级以上奖项218项。</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3．2023届本科生就业率96.25%、研究生就业率99.63%，获批教育部就业育人项目1项，对接单位100多家，组织开展2场机械类精准就业双选会。</w:t>
            </w:r>
          </w:p>
          <w:p>
            <w:pPr>
              <w:keepNext w:val="0"/>
              <w:keepLines w:val="0"/>
              <w:pageBreakBefore w:val="0"/>
              <w:widowControl w:val="0"/>
              <w:kinsoku/>
              <w:wordWrap/>
              <w:overflowPunct/>
              <w:topLinePunct w:val="0"/>
              <w:autoSpaceDE/>
              <w:autoSpaceDN/>
              <w:bidi w:val="0"/>
              <w:adjustRightInd w:val="0"/>
              <w:snapToGrid w:val="0"/>
              <w:spacing w:line="300" w:lineRule="exact"/>
              <w:ind w:firstLine="482" w:firstLineChars="200"/>
              <w:textAlignment w:val="auto"/>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五、注重学院国有资产管理和文化建设，营造积极向上、团结奋进的良好学院氛围</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1</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严格控制公务接待标准，认真落实公务车辆管理，无违反“八项规定”事件。</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2.</w:t>
            </w: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进一步规范和调整教职工用房，制定机械工程学院公房管理实施细则(暂行)，提高我院公房使用效率；优化办公环境，实施格物楼和机械楼楼层文化墙建设和亮化工程。</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3.扎实做好工会工作。学院工会获学校优秀部门工会，学院工会组织教工承办了校教工气排球比赛，教工男队获得校第二名，教工女队获校第三名。做好离退休同志的日常慰问和节假日慰问，扎实开展送温暖工程的各项工作。</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ascii="Times New Roman" w:cs="Times New Roman" w:hAnsi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14:textFill>
                  <w14:solidFill>
                    <w14:schemeClr w14:val="tx1"/>
                  </w14:solidFill>
                </w14:textFill>
              </w:rPr>
              <w:t>4.全面落实“横向到边、纵向到底”全员安全责任制，2023年学院实验室安全运行无事故。</w:t>
            </w:r>
          </w:p>
          <w:p>
            <w:pPr>
              <w:adjustRightInd w:val="0"/>
              <w:snapToGrid w:val="0"/>
              <w:rPr>
                <w:rFonts w:ascii="Times New Roman" w:cs="Times New Roman" w:hAnsiTheme="minorEastAsia"/>
                <w:color w:val="000000" w:themeColor="text1"/>
                <w:sz w:val="21"/>
                <w:szCs w:val="21"/>
                <w14:textFill>
                  <w14:solidFill>
                    <w14:schemeClr w14:val="tx1"/>
                  </w14:solidFill>
                </w14:textFill>
              </w:rPr>
            </w:pPr>
          </w:p>
        </w:tc>
      </w:tr>
    </w:tbl>
    <w:p>
      <w:pPr>
        <w:rPr>
          <w:rFonts w:ascii="黑体" w:hAnsi="黑体" w:eastAsia="黑体" w:cs="黑体"/>
          <w:bCs/>
          <w:sz w:val="21"/>
        </w:rPr>
      </w:pPr>
      <w:r>
        <w:rPr>
          <w:rFonts w:ascii="黑体" w:hAnsi="黑体" w:eastAsia="黑体" w:cs="黑体"/>
          <w:bCs/>
          <w:sz w:val="21"/>
        </w:rPr>
        <w:br w:type="page"/>
      </w:r>
    </w:p>
    <w:p>
      <w:pPr>
        <w:pStyle w:val="4"/>
        <w:spacing w:line="579" w:lineRule="auto"/>
        <w:rPr>
          <w:shd w:val="clear" w:color="auto" w:fill="FFFFFF"/>
        </w:rPr>
      </w:pPr>
      <w:bookmarkStart w:id="2" w:name="_Toc18022"/>
      <w:r>
        <w:rPr>
          <w:rFonts w:hint="eastAsia"/>
          <w:shd w:val="clear" w:color="auto" w:fill="FFFFFF"/>
        </w:rPr>
        <w:t>材料科学与工程学院2023年度业绩简表</w:t>
      </w:r>
      <w:bookmarkEnd w:id="2"/>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单位名称</w:t>
            </w:r>
          </w:p>
        </w:tc>
        <w:tc>
          <w:tcPr>
            <w:tcW w:w="2976" w:type="dxa"/>
            <w:vAlign w:val="center"/>
          </w:tcPr>
          <w:p>
            <w:pPr>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材料科学与工程学院</w:t>
            </w:r>
          </w:p>
        </w:tc>
        <w:tc>
          <w:tcPr>
            <w:tcW w:w="1747" w:type="dxa"/>
            <w:vAlign w:val="center"/>
          </w:tcPr>
          <w:p>
            <w:pPr>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单位职工数</w:t>
            </w:r>
          </w:p>
        </w:tc>
        <w:tc>
          <w:tcPr>
            <w:tcW w:w="2131" w:type="dxa"/>
            <w:vAlign w:val="center"/>
          </w:tcPr>
          <w:p>
            <w:pPr>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keepNext w:val="0"/>
              <w:keepLines w:val="0"/>
              <w:pageBreakBefore w:val="0"/>
              <w:widowControl/>
              <w:kinsoku/>
              <w:wordWrap/>
              <w:overflowPunct/>
              <w:topLinePunct w:val="0"/>
              <w:autoSpaceDE/>
              <w:autoSpaceDN/>
              <w:bidi w:val="0"/>
              <w:adjustRightInd/>
              <w:snapToGrid/>
              <w:spacing w:line="300" w:lineRule="exact"/>
              <w:ind w:firstLine="482" w:firstLineChars="200"/>
              <w:jc w:val="left"/>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一、党建与思想政治工作</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坚持政治思想引领，全面学习宣传贯彻二十大精神，深刻领悟“两个确立”的决定性意义，增强“四个意识”、坚定“四个自信”、坚决做到“两个维护”。</w:t>
            </w:r>
            <w:r>
              <w:rPr>
                <w:rFonts w:hint="eastAsia" w:asciiTheme="minorEastAsia" w:hAnsiTheme="minorEastAsia" w:eastAsiaTheme="minorEastAsia" w:cstheme="minorEastAsia"/>
                <w:b/>
                <w:sz w:val="24"/>
                <w:szCs w:val="24"/>
              </w:rPr>
              <w:t>扎实开展主题教育：</w:t>
            </w:r>
            <w:r>
              <w:rPr>
                <w:rFonts w:hint="eastAsia" w:asciiTheme="minorEastAsia" w:hAnsiTheme="minorEastAsia" w:eastAsiaTheme="minorEastAsia" w:cstheme="minorEastAsia"/>
                <w:sz w:val="24"/>
                <w:szCs w:val="24"/>
              </w:rPr>
              <w:t>针对学院发展难题，修订材料科学与工程学院《人才招引伯乐奖管理办法》《社会捐赠管理及奖励办法》《教职工退休（调离）手续办理暂行办法》等，加大人才引育力度，拓展办学资源，优化资产管理。</w:t>
            </w:r>
            <w:r>
              <w:rPr>
                <w:rFonts w:hint="eastAsia" w:asciiTheme="minorEastAsia" w:hAnsiTheme="minorEastAsia" w:eastAsiaTheme="minorEastAsia" w:cstheme="minorEastAsia"/>
                <w:b/>
                <w:sz w:val="24"/>
                <w:szCs w:val="24"/>
              </w:rPr>
              <w:t>坚决落实从严治党：</w:t>
            </w:r>
            <w:r>
              <w:rPr>
                <w:rFonts w:hint="eastAsia" w:asciiTheme="minorEastAsia" w:hAnsiTheme="minorEastAsia" w:eastAsiaTheme="minorEastAsia" w:cstheme="minorEastAsia"/>
                <w:sz w:val="24"/>
                <w:szCs w:val="24"/>
              </w:rPr>
              <w:t>高度重视教育部党组巡视工作，完成干部离任经济责任审计，开展违反中央八项规定、基层责权不清加重工作负担专项治理等，全年无意识形态责任事故发生，无师德师风违规事件发生。重视纪检文化建设，承办校级“廉洁润初心，铸魂担使命”师生演讲比赛，获校廉洁教育优秀案例，学院获党风廉政宣传教育月优秀组织奖。</w:t>
            </w:r>
            <w:r>
              <w:rPr>
                <w:rFonts w:hint="eastAsia" w:asciiTheme="minorEastAsia" w:hAnsiTheme="minorEastAsia" w:eastAsiaTheme="minorEastAsia" w:cstheme="minorEastAsia"/>
                <w:b/>
                <w:sz w:val="24"/>
                <w:szCs w:val="24"/>
              </w:rPr>
              <w:t>强化党建工作品牌建设：构建“1235”双引擎党建工作模式，2023年材料学院党委获批安徽省“标杆院系”，师生党支部获批安徽省样板支部共2项。</w:t>
            </w:r>
            <w:r>
              <w:rPr>
                <w:rFonts w:hint="eastAsia" w:asciiTheme="minorEastAsia" w:hAnsiTheme="minorEastAsia" w:eastAsiaTheme="minorEastAsia" w:cstheme="minorEastAsia"/>
                <w:sz w:val="24"/>
                <w:szCs w:val="24"/>
              </w:rPr>
              <w:t>发展青年教师党员2名。</w:t>
            </w:r>
            <w:r>
              <w:rPr>
                <w:rFonts w:hint="eastAsia" w:asciiTheme="minorEastAsia" w:hAnsiTheme="minorEastAsia" w:eastAsiaTheme="minorEastAsia" w:cstheme="minorEastAsia"/>
                <w:b/>
                <w:sz w:val="24"/>
                <w:szCs w:val="24"/>
              </w:rPr>
              <w:t>优化学院校友工作机制：</w:t>
            </w:r>
            <w:r>
              <w:rPr>
                <w:rFonts w:hint="eastAsia" w:asciiTheme="minorEastAsia" w:hAnsiTheme="minorEastAsia" w:eastAsiaTheme="minorEastAsia" w:cstheme="minorEastAsia"/>
                <w:sz w:val="24"/>
                <w:szCs w:val="24"/>
              </w:rPr>
              <w:t>组建14个地区学院校友群，校友工作有情怀，有温度。杰出校友周峻牵头向校友会捐资500万，杰出校友蒋成保当选中国科学院院士，校友助力学科发展。</w:t>
            </w:r>
          </w:p>
          <w:p>
            <w:pPr>
              <w:keepNext w:val="0"/>
              <w:keepLines w:val="0"/>
              <w:pageBreakBefore w:val="0"/>
              <w:widowControl/>
              <w:kinsoku/>
              <w:wordWrap/>
              <w:overflowPunct/>
              <w:topLinePunct w:val="0"/>
              <w:autoSpaceDE/>
              <w:autoSpaceDN/>
              <w:bidi w:val="0"/>
              <w:adjustRightInd/>
              <w:snapToGrid/>
              <w:spacing w:line="300" w:lineRule="exact"/>
              <w:ind w:firstLine="482" w:firstLineChars="200"/>
              <w:jc w:val="left"/>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二、教学工作</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持续推进专业建设与改革，</w:t>
            </w:r>
            <w:r>
              <w:rPr>
                <w:rFonts w:hint="eastAsia" w:asciiTheme="minorEastAsia" w:hAnsiTheme="minorEastAsia" w:eastAsiaTheme="minorEastAsia" w:cstheme="minorEastAsia"/>
                <w:bCs/>
                <w:sz w:val="24"/>
                <w:szCs w:val="24"/>
              </w:rPr>
              <w:t>无机非金属材料工程专业通过工程认证申请</w:t>
            </w:r>
            <w:r>
              <w:rPr>
                <w:rFonts w:hint="eastAsia" w:asciiTheme="minorEastAsia" w:hAnsiTheme="minorEastAsia" w:eastAsiaTheme="minorEastAsia" w:cstheme="minorEastAsia"/>
                <w:sz w:val="24"/>
                <w:szCs w:val="24"/>
              </w:rPr>
              <w:t>，两个专业申请省级质量工程专业改造项目获得推荐。</w:t>
            </w:r>
            <w:r>
              <w:rPr>
                <w:rFonts w:hint="eastAsia" w:asciiTheme="minorEastAsia" w:hAnsiTheme="minorEastAsia" w:eastAsiaTheme="minorEastAsia" w:cstheme="minorEastAsia"/>
                <w:b/>
                <w:bCs/>
                <w:sz w:val="24"/>
                <w:szCs w:val="24"/>
              </w:rPr>
              <w:t>一流课程取得历史性突破，获批国家级一流本科课程1门</w:t>
            </w:r>
            <w:r>
              <w:rPr>
                <w:rFonts w:hint="eastAsia" w:asciiTheme="minorEastAsia" w:hAnsiTheme="minorEastAsia" w:eastAsiaTheme="minorEastAsia" w:cstheme="minorEastAsia"/>
                <w:sz w:val="24"/>
                <w:szCs w:val="24"/>
              </w:rPr>
              <w:t>，7门课程申报第三批国家级一流课程，2门课程申请认定省级一流课程。持续推进</w:t>
            </w:r>
            <w:r>
              <w:rPr>
                <w:rFonts w:hint="eastAsia" w:asciiTheme="minorEastAsia" w:hAnsiTheme="minorEastAsia" w:eastAsiaTheme="minorEastAsia" w:cstheme="minorEastAsia"/>
                <w:bCs/>
                <w:sz w:val="24"/>
                <w:szCs w:val="24"/>
              </w:rPr>
              <w:t>青年教师教学能力提升计划，</w:t>
            </w:r>
            <w:r>
              <w:rPr>
                <w:rFonts w:hint="eastAsia" w:asciiTheme="minorEastAsia" w:hAnsiTheme="minorEastAsia" w:eastAsiaTheme="minorEastAsia" w:cstheme="minorEastAsia"/>
                <w:b/>
                <w:sz w:val="24"/>
                <w:szCs w:val="24"/>
              </w:rPr>
              <w:t>两位青年教师获学校青年教师讲课比赛三等奖</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b/>
                <w:bCs/>
                <w:sz w:val="24"/>
                <w:szCs w:val="24"/>
              </w:rPr>
              <w:t>招生宣传工作成效显著</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学院负责的三个地区的最低录取排名均明显提升</w:t>
            </w:r>
            <w:r>
              <w:rPr>
                <w:rFonts w:hint="eastAsia" w:asciiTheme="minorEastAsia" w:hAnsiTheme="minorEastAsia" w:eastAsiaTheme="minorEastAsia" w:cstheme="minorEastAsia"/>
                <w:bCs/>
                <w:sz w:val="24"/>
                <w:szCs w:val="24"/>
              </w:rPr>
              <w:t>，其中宣城校区在河南的录取最低排名提升2万多名。</w:t>
            </w:r>
            <w:r>
              <w:rPr>
                <w:rFonts w:hint="eastAsia" w:asciiTheme="minorEastAsia" w:hAnsiTheme="minorEastAsia" w:eastAsiaTheme="minorEastAsia" w:cstheme="minorEastAsia"/>
                <w:b/>
                <w:bCs/>
                <w:sz w:val="24"/>
                <w:szCs w:val="24"/>
              </w:rPr>
              <w:t>教学研究和改革成果显著，获得</w:t>
            </w:r>
            <w:r>
              <w:rPr>
                <w:rFonts w:hint="eastAsia" w:asciiTheme="minorEastAsia" w:hAnsiTheme="minorEastAsia" w:eastAsiaTheme="minorEastAsia" w:cstheme="minorEastAsia"/>
                <w:b/>
                <w:sz w:val="24"/>
                <w:szCs w:val="24"/>
              </w:rPr>
              <w:t>国家级教学成果二等奖1项</w:t>
            </w:r>
            <w:r>
              <w:rPr>
                <w:rFonts w:hint="eastAsia" w:asciiTheme="minorEastAsia" w:hAnsiTheme="minorEastAsia" w:eastAsiaTheme="minorEastAsia" w:cstheme="minorEastAsia"/>
                <w:bCs/>
                <w:sz w:val="24"/>
                <w:szCs w:val="24"/>
              </w:rPr>
              <w:t>，获批</w:t>
            </w:r>
            <w:r>
              <w:rPr>
                <w:rFonts w:hint="eastAsia" w:asciiTheme="minorEastAsia" w:hAnsiTheme="minorEastAsia" w:eastAsiaTheme="minorEastAsia" w:cstheme="minorEastAsia"/>
                <w:sz w:val="24"/>
                <w:szCs w:val="24"/>
              </w:rPr>
              <w:t>教育部产学合作协同育人项目1项</w:t>
            </w:r>
            <w:r>
              <w:rPr>
                <w:rFonts w:hint="eastAsia" w:asciiTheme="minorEastAsia" w:hAnsiTheme="minorEastAsia" w:eastAsiaTheme="minorEastAsia" w:cstheme="minorEastAsia"/>
                <w:bCs/>
                <w:sz w:val="24"/>
                <w:szCs w:val="24"/>
              </w:rPr>
              <w:t>，省级和校级质量工程项目13项。创新创业工作再上新台阶，学院共获得省部级及以上奖励40余项，包括</w:t>
            </w:r>
            <w:r>
              <w:rPr>
                <w:rFonts w:hint="eastAsia" w:asciiTheme="minorEastAsia" w:hAnsiTheme="minorEastAsia" w:eastAsiaTheme="minorEastAsia" w:cstheme="minorEastAsia"/>
                <w:sz w:val="24"/>
                <w:szCs w:val="24"/>
              </w:rPr>
              <w:t>“挑战杯”国赛铜奖1项</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“互联网+”省赛金奖3项</w:t>
            </w:r>
            <w:r>
              <w:rPr>
                <w:rFonts w:hint="eastAsia" w:asciiTheme="minorEastAsia" w:hAnsiTheme="minorEastAsia" w:eastAsiaTheme="minorEastAsia" w:cstheme="minorEastAsia"/>
                <w:bCs/>
                <w:sz w:val="24"/>
                <w:szCs w:val="24"/>
              </w:rPr>
              <w:t>。改革研究生招生宣传，</w:t>
            </w:r>
            <w:r>
              <w:rPr>
                <w:rFonts w:hint="eastAsia" w:asciiTheme="minorEastAsia" w:hAnsiTheme="minorEastAsia" w:eastAsiaTheme="minorEastAsia" w:cstheme="minorEastAsia"/>
                <w:sz w:val="24"/>
                <w:szCs w:val="24"/>
              </w:rPr>
              <w:t>推出“优材计划”</w:t>
            </w:r>
            <w:r>
              <w:rPr>
                <w:rFonts w:hint="eastAsia" w:asciiTheme="minorEastAsia" w:hAnsiTheme="minorEastAsia" w:eastAsiaTheme="minorEastAsia" w:cstheme="minorEastAsia"/>
                <w:bCs/>
                <w:sz w:val="24"/>
                <w:szCs w:val="24"/>
              </w:rPr>
              <w:t>优秀研究生资助计划；加强研究生学术能力培养，</w:t>
            </w:r>
            <w:r>
              <w:rPr>
                <w:rFonts w:hint="eastAsia" w:asciiTheme="minorEastAsia" w:hAnsiTheme="minorEastAsia" w:eastAsiaTheme="minorEastAsia" w:cstheme="minorEastAsia"/>
                <w:sz w:val="24"/>
                <w:szCs w:val="24"/>
              </w:rPr>
              <w:t>开展研究生学术沙龙系列活动</w:t>
            </w:r>
            <w:r>
              <w:rPr>
                <w:rFonts w:hint="eastAsia" w:asciiTheme="minorEastAsia" w:hAnsiTheme="minorEastAsia" w:eastAsiaTheme="minorEastAsia" w:cstheme="minorEastAsia"/>
                <w:bCs/>
                <w:sz w:val="24"/>
                <w:szCs w:val="24"/>
              </w:rPr>
              <w:t>。</w:t>
            </w:r>
          </w:p>
          <w:p>
            <w:pPr>
              <w:keepNext w:val="0"/>
              <w:keepLines w:val="0"/>
              <w:pageBreakBefore w:val="0"/>
              <w:widowControl/>
              <w:kinsoku/>
              <w:wordWrap/>
              <w:overflowPunct/>
              <w:topLinePunct w:val="0"/>
              <w:autoSpaceDE/>
              <w:autoSpaceDN/>
              <w:bidi w:val="0"/>
              <w:adjustRightInd/>
              <w:snapToGrid/>
              <w:spacing w:line="300" w:lineRule="exact"/>
              <w:ind w:firstLine="482" w:firstLineChars="200"/>
              <w:jc w:val="left"/>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三、科研与学科建设</w:t>
            </w:r>
            <w:bookmarkStart w:id="3" w:name="_Hlk154565672"/>
          </w:p>
          <w:p>
            <w:pPr>
              <w:keepNext w:val="0"/>
              <w:keepLines w:val="0"/>
              <w:pageBreakBefore w:val="0"/>
              <w:kinsoku/>
              <w:wordWrap/>
              <w:overflowPunct/>
              <w:topLinePunct w:val="0"/>
              <w:autoSpaceDE/>
              <w:autoSpaceDN/>
              <w:bidi w:val="0"/>
              <w:adjustRightInd/>
              <w:snapToGrid/>
              <w:spacing w:line="300" w:lineRule="exact"/>
              <w:ind w:firstLine="482" w:firstLineChars="200"/>
              <w:textAlignment w:val="auto"/>
              <w:rPr>
                <w:rFonts w:hint="eastAsia" w:asciiTheme="minorEastAsia" w:hAnsiTheme="minorEastAsia" w:eastAsiaTheme="minorEastAsia" w:cstheme="minorEastAsia"/>
                <w:b/>
                <w:sz w:val="24"/>
                <w:szCs w:val="24"/>
              </w:rPr>
            </w:pPr>
            <w:bookmarkStart w:id="4" w:name="_Hlk154566247"/>
            <w:r>
              <w:rPr>
                <w:rFonts w:hint="eastAsia" w:asciiTheme="minorEastAsia" w:hAnsiTheme="minorEastAsia" w:eastAsiaTheme="minorEastAsia" w:cstheme="minorEastAsia"/>
                <w:b/>
                <w:sz w:val="24"/>
                <w:szCs w:val="24"/>
              </w:rPr>
              <w:t>本年度到账科研总经费5671.97万元，其中纵向3295.93万元，横</w:t>
            </w:r>
            <w:bookmarkEnd w:id="4"/>
            <w:bookmarkStart w:id="5" w:name="_Hlk154566263"/>
            <w:r>
              <w:rPr>
                <w:rFonts w:hint="eastAsia" w:asciiTheme="minorEastAsia" w:hAnsiTheme="minorEastAsia" w:eastAsiaTheme="minorEastAsia" w:cstheme="minorEastAsia"/>
                <w:b/>
                <w:sz w:val="24"/>
                <w:szCs w:val="24"/>
              </w:rPr>
              <w:t>向2376.04万元。获批国家重大仪器专项、国家重点研发计划项目课题各1项，国家基金项目11项</w:t>
            </w:r>
            <w:r>
              <w:rPr>
                <w:rFonts w:hint="eastAsia" w:asciiTheme="minorEastAsia" w:hAnsiTheme="minorEastAsia" w:eastAsiaTheme="minorEastAsia" w:cstheme="minorEastAsia"/>
                <w:sz w:val="24"/>
                <w:szCs w:val="24"/>
              </w:rPr>
              <w:t>，安徽省重大基础研究项目1项，重大专项2项。发表高水平论文160篇，授权中国发明专利60余项。转化专利数为25项，转化总金额800余万元。继续与企业签订共建联合实验室，年度共建联合实验室经费到账超过200万。</w:t>
            </w:r>
            <w:r>
              <w:rPr>
                <w:rFonts w:hint="eastAsia" w:asciiTheme="minorEastAsia" w:hAnsiTheme="minorEastAsia" w:eastAsiaTheme="minorEastAsia" w:cstheme="minorEastAsia"/>
                <w:b/>
                <w:sz w:val="24"/>
                <w:szCs w:val="24"/>
              </w:rPr>
              <w:t>高性能铜合金材料及成形加工教育部工程研究中心顺利通过评估工作，评估结果良好。</w:t>
            </w:r>
            <w:r>
              <w:rPr>
                <w:rFonts w:hint="eastAsia" w:asciiTheme="minorEastAsia" w:hAnsiTheme="minorEastAsia" w:eastAsiaTheme="minorEastAsia" w:cstheme="minorEastAsia"/>
                <w:sz w:val="24"/>
                <w:szCs w:val="24"/>
              </w:rPr>
              <w:t>完成材料成型大车间改造事宜。主办中国机械工程学会材料分会暨新材料与产业论坛、全国先进金属功能材料制备加工及应用学术会议、承办第13次全国热处理大会暨热处理学会成立60周年报告会。新增5台仪器设备纳入有偿使用管理。</w:t>
            </w:r>
            <w:r>
              <w:rPr>
                <w:rFonts w:hint="eastAsia" w:asciiTheme="minorEastAsia" w:hAnsiTheme="minorEastAsia" w:eastAsiaTheme="minorEastAsia" w:cstheme="minorEastAsia"/>
                <w:b/>
                <w:sz w:val="24"/>
                <w:szCs w:val="24"/>
              </w:rPr>
              <w:t>持续推进实验用房收费、设备仪器线上预约结算等管理。</w:t>
            </w:r>
            <w:r>
              <w:rPr>
                <w:rFonts w:hint="eastAsia" w:asciiTheme="minorEastAsia" w:hAnsiTheme="minorEastAsia" w:eastAsiaTheme="minorEastAsia" w:cstheme="minorEastAsia"/>
                <w:sz w:val="24"/>
                <w:szCs w:val="24"/>
              </w:rPr>
              <w:t>落实实验室安全培训、准入制度和定期检查，实行月度实验室安全隐患检查排查工作。</w:t>
            </w:r>
            <w:r>
              <w:rPr>
                <w:rFonts w:hint="eastAsia" w:asciiTheme="minorEastAsia" w:hAnsiTheme="minorEastAsia" w:eastAsiaTheme="minorEastAsia" w:cstheme="minorEastAsia"/>
                <w:b/>
                <w:sz w:val="24"/>
                <w:szCs w:val="24"/>
              </w:rPr>
              <w:t>全年无实验室安全事故</w:t>
            </w:r>
            <w:bookmarkEnd w:id="3"/>
            <w:r>
              <w:rPr>
                <w:rFonts w:hint="eastAsia" w:asciiTheme="minorEastAsia" w:hAnsiTheme="minorEastAsia" w:eastAsiaTheme="minorEastAsia" w:cstheme="minorEastAsia"/>
                <w:b/>
                <w:sz w:val="24"/>
                <w:szCs w:val="24"/>
              </w:rPr>
              <w:t>发生。</w:t>
            </w:r>
            <w:bookmarkEnd w:id="5"/>
          </w:p>
          <w:p>
            <w:pPr>
              <w:keepNext w:val="0"/>
              <w:keepLines w:val="0"/>
              <w:pageBreakBefore w:val="0"/>
              <w:widowControl/>
              <w:kinsoku/>
              <w:wordWrap/>
              <w:overflowPunct/>
              <w:topLinePunct w:val="0"/>
              <w:autoSpaceDE/>
              <w:autoSpaceDN/>
              <w:bidi w:val="0"/>
              <w:adjustRightInd/>
              <w:snapToGrid/>
              <w:spacing w:line="300" w:lineRule="exact"/>
              <w:ind w:firstLine="482" w:firstLineChars="200"/>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四、人才与师资工作</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成立人才引育工作小组，制定了2023-2025师资队伍建设规划，组建高层次人才“育才梯队”，设立了“材料科学与工程学院人才引进伯乐奖”。本年度组织面试5次，引进高层次人才1人，黄山学者学术骨干2人，实验教师1人。 积极推动高层次人才精准培育行动，推荐培育人选4人，激励教师申报人才项目，</w:t>
            </w:r>
            <w:r>
              <w:rPr>
                <w:rFonts w:hint="eastAsia" w:asciiTheme="minorEastAsia" w:hAnsiTheme="minorEastAsia" w:eastAsiaTheme="minorEastAsia" w:cstheme="minorEastAsia"/>
                <w:b/>
                <w:sz w:val="24"/>
                <w:szCs w:val="24"/>
              </w:rPr>
              <w:t>实现了国家级人才及省部级人才项目新突破，罗来马教授获批国家“万人计划”科技创新领军人才</w:t>
            </w:r>
            <w:r>
              <w:rPr>
                <w:rFonts w:hint="eastAsia" w:asciiTheme="minorEastAsia" w:hAnsiTheme="minorEastAsia" w:eastAsiaTheme="minorEastAsia" w:cstheme="minorEastAsia"/>
                <w:sz w:val="24"/>
                <w:szCs w:val="24"/>
              </w:rPr>
              <w:t>，2人获批安徽省第九批学术和技术带头人，1人获批安徽省高端人才引育行动青年拔尖人才项目，3人获批安徽省海外高层次人选计划项目，2 位教师分别入选“斛兵学者”Ⅱ类岗位和Ⅲ类岗位。</w:t>
            </w:r>
          </w:p>
          <w:p>
            <w:pPr>
              <w:keepNext w:val="0"/>
              <w:keepLines w:val="0"/>
              <w:pageBreakBefore w:val="0"/>
              <w:widowControl/>
              <w:kinsoku/>
              <w:wordWrap/>
              <w:overflowPunct/>
              <w:topLinePunct w:val="0"/>
              <w:autoSpaceDE/>
              <w:autoSpaceDN/>
              <w:bidi w:val="0"/>
              <w:adjustRightInd/>
              <w:snapToGrid/>
              <w:spacing w:line="300" w:lineRule="exact"/>
              <w:ind w:firstLine="482" w:firstLineChars="200"/>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五、学生工作与共青团工作</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bookmarkStart w:id="6" w:name="_Hlk154566190"/>
            <w:r>
              <w:rPr>
                <w:rFonts w:hint="eastAsia" w:asciiTheme="minorEastAsia" w:hAnsiTheme="minorEastAsia" w:eastAsiaTheme="minorEastAsia" w:cstheme="minorEastAsia"/>
                <w:sz w:val="24"/>
                <w:szCs w:val="24"/>
              </w:rPr>
              <w:t>围绕学习宣传贯彻党的二十大精神和主题教育，开展艺术思政大课、国旗下的思政课等各类实践活动520余场次。</w:t>
            </w:r>
            <w:r>
              <w:rPr>
                <w:rFonts w:hint="eastAsia" w:asciiTheme="minorEastAsia" w:hAnsiTheme="minorEastAsia" w:eastAsiaTheme="minorEastAsia" w:cstheme="minorEastAsia"/>
                <w:b/>
                <w:sz w:val="24"/>
                <w:szCs w:val="24"/>
              </w:rPr>
              <w:t>学生党支部获批安徽省高校样板党支部，立项特色活动项目3项（数量全校第一）</w:t>
            </w:r>
            <w:r>
              <w:rPr>
                <w:rFonts w:hint="eastAsia" w:asciiTheme="minorEastAsia" w:hAnsiTheme="minorEastAsia" w:eastAsiaTheme="minorEastAsia" w:cstheme="minorEastAsia"/>
                <w:sz w:val="24"/>
                <w:szCs w:val="24"/>
              </w:rPr>
              <w:t>，党校征文一等奖1项、三等奖2项。获批中国科协学风涵养工作室，原创思政视频在《安徽日报》理论版平台发布、</w:t>
            </w:r>
            <w:r>
              <w:rPr>
                <w:rFonts w:hint="eastAsia" w:asciiTheme="minorEastAsia" w:hAnsiTheme="minorEastAsia" w:eastAsiaTheme="minorEastAsia" w:cstheme="minorEastAsia"/>
                <w:b/>
                <w:sz w:val="24"/>
                <w:szCs w:val="24"/>
              </w:rPr>
              <w:t>“一封家书”思政项目入选省学联品牌项目</w:t>
            </w:r>
            <w:r>
              <w:rPr>
                <w:rFonts w:hint="eastAsia" w:asciiTheme="minorEastAsia" w:hAnsiTheme="minorEastAsia" w:eastAsiaTheme="minorEastAsia" w:cstheme="minorEastAsia"/>
                <w:sz w:val="24"/>
                <w:szCs w:val="24"/>
              </w:rPr>
              <w:t>。全年无安全稳定事故。完成实习基地挂牌7家。</w:t>
            </w:r>
            <w:r>
              <w:rPr>
                <w:rFonts w:hint="eastAsia" w:asciiTheme="minorEastAsia" w:hAnsiTheme="minorEastAsia" w:eastAsiaTheme="minorEastAsia" w:cstheme="minorEastAsia"/>
                <w:b/>
                <w:sz w:val="24"/>
                <w:szCs w:val="24"/>
              </w:rPr>
              <w:t>获批教育部供需对接就业育人项目2项</w:t>
            </w:r>
            <w:r>
              <w:rPr>
                <w:rFonts w:hint="eastAsia" w:asciiTheme="minorEastAsia" w:hAnsiTheme="minorEastAsia" w:eastAsiaTheme="minorEastAsia" w:cstheme="minorEastAsia"/>
                <w:sz w:val="24"/>
                <w:szCs w:val="24"/>
              </w:rPr>
              <w:t>，获校就业工作典型案例一等奖，校高质量就业育人项目结题“优秀”，获校学业规划大赛特等奖和“优秀组织奖”。</w:t>
            </w:r>
            <w:r>
              <w:rPr>
                <w:rFonts w:hint="eastAsia" w:asciiTheme="minorEastAsia" w:hAnsiTheme="minorEastAsia" w:eastAsiaTheme="minorEastAsia" w:cstheme="minorEastAsia"/>
                <w:b/>
                <w:sz w:val="24"/>
                <w:szCs w:val="24"/>
              </w:rPr>
              <w:t>本科生就业率97.42%（升学率55.72%，全校第一）、研究生就业率100%。应征入伍7人，全校第一</w:t>
            </w:r>
            <w:r>
              <w:rPr>
                <w:rFonts w:hint="eastAsia" w:asciiTheme="minorEastAsia" w:hAnsiTheme="minorEastAsia" w:eastAsiaTheme="minorEastAsia" w:cstheme="minorEastAsia"/>
                <w:sz w:val="24"/>
                <w:szCs w:val="24"/>
              </w:rPr>
              <w:t>。涌现出学生校团委副书记、校级学生组织轮值主席5人。学生荣获安徽省社会实践先进个人、安徽青年志愿者优秀个人等各类荣誉80余人次；</w:t>
            </w:r>
            <w:r>
              <w:rPr>
                <w:rFonts w:hint="eastAsia" w:asciiTheme="minorEastAsia" w:hAnsiTheme="minorEastAsia" w:eastAsiaTheme="minorEastAsia" w:cstheme="minorEastAsia"/>
                <w:b/>
                <w:sz w:val="24"/>
                <w:szCs w:val="24"/>
              </w:rPr>
              <w:t>6人荣获2023年十佳大学生，获奖比例全校第1。</w:t>
            </w:r>
            <w:r>
              <w:rPr>
                <w:rFonts w:hint="eastAsia" w:asciiTheme="minorEastAsia" w:hAnsiTheme="minorEastAsia" w:eastAsiaTheme="minorEastAsia" w:cstheme="minorEastAsia"/>
                <w:sz w:val="24"/>
                <w:szCs w:val="24"/>
              </w:rPr>
              <w:t>2023届毕业生1人第二课堂成绩单星级排名第一，6人跻身星级排名前十；</w:t>
            </w:r>
            <w:r>
              <w:rPr>
                <w:rFonts w:hint="eastAsia" w:asciiTheme="minorEastAsia" w:hAnsiTheme="minorEastAsia" w:eastAsiaTheme="minorEastAsia" w:cstheme="minorEastAsia"/>
                <w:b/>
                <w:sz w:val="24"/>
                <w:szCs w:val="24"/>
              </w:rPr>
              <w:t>暑期社会实践获批国家级专项6项，荣获全国优秀调研报告、安徽省优秀调研报告一等奖</w:t>
            </w:r>
            <w:r>
              <w:rPr>
                <w:rFonts w:hint="eastAsia" w:asciiTheme="minorEastAsia" w:hAnsiTheme="minorEastAsia" w:eastAsiaTheme="minorEastAsia" w:cstheme="minorEastAsia"/>
                <w:sz w:val="24"/>
                <w:szCs w:val="24"/>
              </w:rPr>
              <w:t>等各类荣誉30余项。</w:t>
            </w:r>
            <w:bookmarkEnd w:id="6"/>
          </w:p>
          <w:p>
            <w:pPr>
              <w:keepNext w:val="0"/>
              <w:keepLines w:val="0"/>
              <w:pageBreakBefore w:val="0"/>
              <w:kinsoku/>
              <w:wordWrap/>
              <w:overflowPunct/>
              <w:topLinePunct w:val="0"/>
              <w:autoSpaceDE/>
              <w:autoSpaceDN/>
              <w:bidi w:val="0"/>
              <w:adjustRightInd/>
              <w:snapToGrid/>
              <w:spacing w:line="300" w:lineRule="exact"/>
              <w:ind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六、国有资产管理与财务、国际化和学院运行</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ascii="仿宋" w:hAnsi="仿宋" w:eastAsia="仿宋"/>
              </w:rPr>
            </w:pPr>
            <w:r>
              <w:rPr>
                <w:rFonts w:hint="eastAsia" w:asciiTheme="minorEastAsia" w:hAnsiTheme="minorEastAsia" w:eastAsiaTheme="minorEastAsia" w:cstheme="minorEastAsia"/>
                <w:sz w:val="24"/>
                <w:szCs w:val="24"/>
              </w:rPr>
              <w:t>启动建设学院英文网站，加强国际交流与合作。组织全体教师开展网络安全意识专题培训，提升教师网络安全意识。做好校外人员进校报备审核工作。按照“统一领导、归口管理、分级负责、责任到人”加强和完善国有资产的信息化管理，做好学院5075台件资产的盘点工作，实行固定资产动态管理及移交工作。严格遵循“三重一大”制度，牢固树立“过紧日子”思想，规范财务支出使用管理。</w:t>
            </w:r>
          </w:p>
        </w:tc>
      </w:tr>
    </w:tbl>
    <w:p>
      <w:r>
        <w:br w:type="page"/>
      </w:r>
    </w:p>
    <w:p>
      <w:pPr>
        <w:pStyle w:val="4"/>
        <w:rPr>
          <w:shd w:val="clear" w:color="auto" w:fill="FFFFFF"/>
        </w:rPr>
      </w:pPr>
      <w:bookmarkStart w:id="7" w:name="_Toc20052"/>
      <w:r>
        <w:rPr>
          <w:rFonts w:hint="eastAsia"/>
          <w:shd w:val="clear" w:color="auto" w:fill="FFFFFF"/>
        </w:rPr>
        <w:t>电气与自动化工程学院202</w:t>
      </w:r>
      <w:r>
        <w:rPr>
          <w:shd w:val="clear" w:color="auto" w:fill="FFFFFF"/>
        </w:rPr>
        <w:t>3</w:t>
      </w:r>
      <w:r>
        <w:rPr>
          <w:rFonts w:hint="eastAsia"/>
          <w:shd w:val="clear" w:color="auto" w:fill="FFFFFF"/>
        </w:rPr>
        <w:t>年度业绩简表</w:t>
      </w:r>
      <w:bookmarkEnd w:id="7"/>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单位名称</w:t>
            </w:r>
          </w:p>
        </w:tc>
        <w:tc>
          <w:tcPr>
            <w:tcW w:w="2976" w:type="dxa"/>
            <w:vAlign w:val="center"/>
          </w:tcPr>
          <w:p>
            <w:pPr>
              <w:jc w:val="both"/>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电气与自动化工程学院</w:t>
            </w:r>
          </w:p>
        </w:tc>
        <w:tc>
          <w:tcPr>
            <w:tcW w:w="1747" w:type="dxa"/>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单位职工数</w:t>
            </w:r>
          </w:p>
        </w:tc>
        <w:tc>
          <w:tcPr>
            <w:tcW w:w="2131" w:type="dxa"/>
            <w:vAlign w:val="center"/>
          </w:tcPr>
          <w:p>
            <w:pPr>
              <w:adjustRightInd w:val="0"/>
              <w:snapToGrid w:val="0"/>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195（含退休返聘、科研助理）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cstheme="minorEastAsia"/>
                <w:sz w:val="24"/>
                <w:szCs w:val="24"/>
              </w:rPr>
            </w:pPr>
            <w:r>
              <w:rPr>
                <w:rFonts w:hint="eastAsia" w:asciiTheme="minorEastAsia" w:hAnsiTheme="minorEastAsia" w:cstheme="minorEastAsia"/>
                <w:sz w:val="24"/>
                <w:szCs w:val="24"/>
              </w:rPr>
              <w:t>在学校党委和行政领导下，认真开展学习贯彻习近平新时代中国特色社会主义思想主题教育，深入学习宣传贯彻党的二十大精神，在认真贯彻落实教育部党组和学校党委各项决策部署的同时，以“一融双高”为主线，全方位推进各项工作。现将年度工作简述如下：</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lang w:eastAsia="zh-CN"/>
              </w:rPr>
              <w:t>一、</w:t>
            </w:r>
            <w:r>
              <w:rPr>
                <w:rFonts w:hint="eastAsia" w:asciiTheme="minorEastAsia" w:hAnsiTheme="minorEastAsia" w:cstheme="minorEastAsia"/>
                <w:b/>
                <w:bCs/>
                <w:sz w:val="24"/>
                <w:szCs w:val="24"/>
              </w:rPr>
              <w:t>党建与思想政治等相关工作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cstheme="minorEastAsia"/>
                <w:sz w:val="24"/>
                <w:szCs w:val="24"/>
              </w:rPr>
            </w:pPr>
            <w:r>
              <w:rPr>
                <w:rFonts w:hint="eastAsia" w:asciiTheme="minorEastAsia" w:hAnsiTheme="minorEastAsia" w:cstheme="minorEastAsia"/>
                <w:sz w:val="24"/>
                <w:szCs w:val="24"/>
              </w:rPr>
              <w:t>学院党委强调政治标准，善用“样板支部”、“双带头人”教师党支部书记工作室的引领作用。一研究生党支部获批第三批全国高校“百个研究生样板党支部”，电力电子教研室党支部获学校推荐参评安徽省“双带头人”教师党支部书记工作室。通过多元手段，有效推进学习贯彻习近平新时代中国特色社会主义思想主题教育系列活动，为提升广大教职工的理论水平和政治素养发挥了积极作用。在学校 “学习宣传贯彻党的二十大精神”主题征文活动中，荣获教工组一等奖、二等奖、三等奖各一篇，学生组三等奖一篇。</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lang w:val="en-US" w:eastAsia="zh-CN"/>
              </w:rPr>
              <w:t>二、</w:t>
            </w:r>
            <w:r>
              <w:rPr>
                <w:rFonts w:hint="eastAsia" w:asciiTheme="minorEastAsia" w:hAnsiTheme="minorEastAsia" w:cstheme="minorEastAsia"/>
                <w:b/>
                <w:bCs/>
                <w:sz w:val="24"/>
                <w:szCs w:val="24"/>
              </w:rPr>
              <w:t>教学工作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学院圆满完成了全年教学工作，教育教学管理成效显著。获批省级质量工程项目8项，同比去年提升了160%。马铭遥教授荣获第六届全国高校青年教师教学竞赛二等奖，汪海宁副教授荣获首届全国高等电气类青年教师实践教学设计金奖，王欢副教授、陈志伟副教授分别荣获第五届全国高等学校青年教师电工学课程教学竞赛特等奖、一等奖，陈波副教授荣获全国仿真创新应用大赛三等奖，张倩倩老师团队、邱亚老师团队分别荣获第二届全国高校电气类专业青年教师实践教学设计创新大赛一等奖、二等奖。主编国家级规划教材再版2部，发表教研论文4篇。</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cstheme="minorEastAsia"/>
                <w:sz w:val="24"/>
                <w:szCs w:val="24"/>
              </w:rPr>
            </w:pPr>
            <w:r>
              <w:rPr>
                <w:rFonts w:hint="eastAsia" w:asciiTheme="minorEastAsia" w:hAnsiTheme="minorEastAsia" w:cstheme="minorEastAsia"/>
                <w:sz w:val="24"/>
                <w:szCs w:val="24"/>
              </w:rPr>
              <w:t>科技创新能力不断提升。获挑战杯全国大学生科技竞赛三等奖2项，第八届安徽省“互联网+”大学生创新创业大赛金奖3项，全国大学生电子设计竞赛全国二等奖（省一等奖）2项。</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lang w:val="en-US" w:eastAsia="zh-CN"/>
              </w:rPr>
              <w:t>三、</w:t>
            </w:r>
            <w:r>
              <w:rPr>
                <w:rFonts w:hint="eastAsia" w:asciiTheme="minorEastAsia" w:hAnsiTheme="minorEastAsia" w:cstheme="minorEastAsia"/>
                <w:b/>
                <w:bCs/>
                <w:sz w:val="24"/>
                <w:szCs w:val="24"/>
              </w:rPr>
              <w:t>科研工作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截止12月29日，科研到账经费10059.8424万元，同比去年增长了155%。获批国家基金项目15项，其中区域创新联合基金2项、面上项目7项、青年项目5项，专项项目1项。获批安徽省重点研发项目2项，一般项目7项。获安徽省科学技术奖二等奖2项，教育部自然科学一等奖1项，重庆市科学技术二等奖1项，国防技术发明二等奖1项，学会奖3项，日内瓦国际发明展金奖1项。</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lang w:eastAsia="zh-CN"/>
              </w:rPr>
              <w:t>四、</w:t>
            </w:r>
            <w:r>
              <w:rPr>
                <w:rFonts w:hint="eastAsia" w:asciiTheme="minorEastAsia" w:hAnsiTheme="minorEastAsia" w:cstheme="minorEastAsia"/>
                <w:b/>
                <w:bCs/>
                <w:sz w:val="24"/>
                <w:szCs w:val="24"/>
              </w:rPr>
              <w:t>学科建设与研究生工作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学院高度重视学科交叉融合发展，电气工程和控制科学与工程两个一级学科均保持良好发展势头。国家重点实验室平台建设进一步取得新突破。依托高压与绝缘技术实验室，获批共建“电能高效高质转化全国重点实验室”、“国家能源雷电灾害监测预警与安全防护重点实验室”和“国家能源光储变流技术与装备重点实验室”3个国家级科研平台全国重点实验室。牵头组建“安徽省功率半导体封装与可靠性重点实验室”1个安徽省重点实验室。获批共建2个安徽省重点实验室。联合申报2个国家级科研平台，牵头重组1个安徽省重点实验室平台。高电压与绝缘技术实验室目前已成为我国在雷电科学与防护工程研究、特高压电气装备关键技术领域的高水平实验室，全年接待省部级领导及学术参观交流共计84次。控制科学与工程一级学科成功获批博士后流动站，这是继2018年获批博士点之后，学科高层次平台建设上迈出的又一重要步伐。</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lang w:eastAsia="zh-CN"/>
              </w:rPr>
              <w:t>五、</w:t>
            </w:r>
            <w:r>
              <w:rPr>
                <w:rFonts w:hint="eastAsia" w:asciiTheme="minorEastAsia" w:hAnsiTheme="minorEastAsia" w:cstheme="minorEastAsia"/>
                <w:b/>
                <w:bCs/>
                <w:sz w:val="24"/>
                <w:szCs w:val="24"/>
              </w:rPr>
              <w:t>人才与师资工作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持续推进招聘宣传工作。截止2023年12月，共收到简历94份，其中，已通过学校人事会议5人，其中黄山学者学术骨干2人，副研究员1人，师资补充1人，实验教师1人。</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进一步完善、制定人才引进与培养的新体系，制定了近三年师资、人才引进计划和高层次人才“育才梯队”，这一政策为学院引才工作提供了长期的指导。</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引才与育才工作成效持续显现。电工与电子技术系教师刘冬梅入选安徽省青年拔尖项目青年教学名师，电气工程系教师邓二平入选安徽省海外高层次人才计划（青年项目）。2023年共有7人来院报到入职，其中引进人才2人，师资补充2人。</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lang w:eastAsia="zh-CN"/>
              </w:rPr>
              <w:t>六、</w:t>
            </w:r>
            <w:r>
              <w:rPr>
                <w:rFonts w:hint="eastAsia" w:asciiTheme="minorEastAsia" w:hAnsiTheme="minorEastAsia" w:cstheme="minorEastAsia"/>
                <w:b/>
                <w:bCs/>
                <w:sz w:val="24"/>
                <w:szCs w:val="24"/>
              </w:rPr>
              <w:t>学生工作与共青团工作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学生工作坚持以党的二十大精神和习近平新时代中国特色社会主义思想为指导，把思想政治工作贯穿人才培养全过程，聚焦文化宣教，全覆盖开展小班辅导102场；聚焦文明养成，开展主题班会250余场。构建“辉熠电气”思政育人体系，持续推进信仰、清廉等“青年+”教育实践品牌活动50余场，开展浸润式爱校荣校专题教育活动等主题实践10余场。</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lang w:eastAsia="zh-CN"/>
              </w:rPr>
              <w:t>七、</w:t>
            </w:r>
            <w:r>
              <w:rPr>
                <w:rFonts w:hint="eastAsia" w:asciiTheme="minorEastAsia" w:hAnsiTheme="minorEastAsia" w:cstheme="minorEastAsia"/>
                <w:b/>
                <w:bCs/>
                <w:sz w:val="24"/>
                <w:szCs w:val="24"/>
              </w:rPr>
              <w:t>国有资产管理与财务</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严格遵循学院“三重一大”制度。建立合同台账，提高合同管理的效率和透明度。加强资产管理，严格资产管理程序。全年，新增固定资产794件，资产价值11191616.73元。全年累计办理资产报废369件，资产原值2462905.01元。</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lang w:eastAsia="zh-CN"/>
              </w:rPr>
              <w:t>八、</w:t>
            </w:r>
            <w:r>
              <w:rPr>
                <w:rFonts w:hint="eastAsia" w:asciiTheme="minorEastAsia" w:hAnsiTheme="minorEastAsia" w:cstheme="minorEastAsia"/>
                <w:b/>
                <w:bCs/>
                <w:sz w:val="24"/>
                <w:szCs w:val="24"/>
              </w:rPr>
              <w:t>国际化</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依托“111引智基地”项目、外国专家项目、外国专家短期授课项目等项目开展国际交流，邀请国外专家作线上线下报告三十余次。</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承办2023 IEEE第六届国际电气与能源大会，1200名代表参会，围绕电气工程和能源科技领域20个专业方向共70个分论坛进行学术报告交流。承办第二十届中国电气自动化与电控系统学术年会，邀请了陈学东院士、黄庆学院士等8位知名专家和5位企业界专家分别做了大会报告。承办2023国际产学研用合作会议新能源与智能网联汽车分会场研讨会，邀请中国工程院陈清泉院士、加拿大工程Liuchen Chang院士参会。</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lang w:eastAsia="zh-CN"/>
              </w:rPr>
              <w:t>九、</w:t>
            </w:r>
            <w:r>
              <w:rPr>
                <w:rFonts w:hint="eastAsia" w:asciiTheme="minorEastAsia" w:hAnsiTheme="minorEastAsia" w:cstheme="minorEastAsia"/>
                <w:b/>
                <w:bCs/>
                <w:sz w:val="24"/>
                <w:szCs w:val="24"/>
              </w:rPr>
              <w:t>学院运行</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仿宋" w:hAnsi="仿宋" w:eastAsia="仿宋"/>
              </w:rPr>
            </w:pPr>
            <w:r>
              <w:rPr>
                <w:rFonts w:hint="eastAsia" w:asciiTheme="minorEastAsia" w:hAnsiTheme="minorEastAsia" w:cstheme="minorEastAsia"/>
                <w:sz w:val="24"/>
                <w:szCs w:val="24"/>
              </w:rPr>
              <w:t>全面认真贯彻执行学校各项管理决定，积极落实、督办学校各项工作任务。推进管理信息化建设，完善学院教学管理平台，探索会议室预约系统建设，逐步实施学生工位标签化管理。加强人文环境建设，完成逸夫楼二楼大厅背景墙和会议室背景墙改造工作，制做院标上墙。升级五间会议室软、硬件设备，包括购置电子屏设备、音响视频系统、更新会议桌椅等。完成学院中、英文网站改版与教师个人网站建设工作。</w:t>
            </w:r>
          </w:p>
        </w:tc>
      </w:tr>
    </w:tbl>
    <w:p>
      <w:r>
        <w:br w:type="page"/>
      </w:r>
    </w:p>
    <w:p>
      <w:pPr>
        <w:pStyle w:val="4"/>
        <w:rPr>
          <w:rFonts w:hint="eastAsia"/>
          <w:shd w:val="clear" w:color="auto" w:fill="FFFFFF"/>
        </w:rPr>
      </w:pPr>
      <w:bookmarkStart w:id="8" w:name="_Toc531861744"/>
      <w:bookmarkStart w:id="9" w:name="_Toc21063"/>
      <w:r>
        <w:rPr>
          <w:rFonts w:hint="eastAsia"/>
          <w:shd w:val="clear" w:color="auto" w:fill="FFFFFF"/>
        </w:rPr>
        <w:t>计算机与信息学院2023年度业绩简表</w:t>
      </w:r>
      <w:bookmarkEnd w:id="8"/>
      <w:bookmarkEnd w:id="9"/>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_GB2312" w:hAnsi="仿宋" w:eastAsia="仿宋_GB2312"/>
                <w:b/>
                <w:sz w:val="24"/>
                <w:szCs w:val="21"/>
              </w:rPr>
            </w:pPr>
            <w:r>
              <w:rPr>
                <w:rFonts w:hint="eastAsia" w:ascii="仿宋_GB2312" w:hAnsi="仿宋" w:eastAsia="仿宋_GB2312"/>
                <w:b/>
                <w:sz w:val="24"/>
                <w:szCs w:val="21"/>
              </w:rPr>
              <w:t>单位名称</w:t>
            </w:r>
          </w:p>
        </w:tc>
        <w:tc>
          <w:tcPr>
            <w:tcW w:w="2976" w:type="dxa"/>
            <w:vAlign w:val="center"/>
          </w:tcPr>
          <w:p>
            <w:pPr>
              <w:rPr>
                <w:rFonts w:ascii="仿宋_GB2312" w:hAnsi="仿宋" w:eastAsia="仿宋_GB2312"/>
                <w:b/>
                <w:sz w:val="24"/>
                <w:szCs w:val="21"/>
              </w:rPr>
            </w:pPr>
            <w:r>
              <w:rPr>
                <w:rFonts w:hint="eastAsia" w:ascii="仿宋_GB2312" w:hAnsi="仿宋" w:eastAsia="仿宋_GB2312"/>
                <w:b/>
                <w:sz w:val="24"/>
                <w:szCs w:val="21"/>
              </w:rPr>
              <w:t xml:space="preserve">  计算机与信息学院</w:t>
            </w:r>
          </w:p>
        </w:tc>
        <w:tc>
          <w:tcPr>
            <w:tcW w:w="1747" w:type="dxa"/>
            <w:vAlign w:val="center"/>
          </w:tcPr>
          <w:p>
            <w:pPr>
              <w:jc w:val="center"/>
              <w:rPr>
                <w:rFonts w:ascii="仿宋_GB2312" w:hAnsi="仿宋" w:eastAsia="仿宋_GB2312"/>
                <w:b/>
                <w:sz w:val="24"/>
                <w:szCs w:val="21"/>
              </w:rPr>
            </w:pPr>
            <w:r>
              <w:rPr>
                <w:rFonts w:hint="eastAsia" w:ascii="仿宋_GB2312" w:hAnsi="仿宋" w:eastAsia="仿宋_GB2312"/>
                <w:b/>
                <w:sz w:val="24"/>
                <w:szCs w:val="21"/>
              </w:rPr>
              <w:t>单位职工数</w:t>
            </w:r>
          </w:p>
        </w:tc>
        <w:tc>
          <w:tcPr>
            <w:tcW w:w="2131" w:type="dxa"/>
            <w:vAlign w:val="center"/>
          </w:tcPr>
          <w:p>
            <w:pPr>
              <w:jc w:val="center"/>
              <w:rPr>
                <w:rFonts w:ascii="仿宋_GB2312" w:hAnsi="仿宋" w:eastAsia="仿宋_GB2312"/>
                <w:b/>
                <w:sz w:val="24"/>
                <w:szCs w:val="21"/>
              </w:rPr>
            </w:pPr>
            <w:r>
              <w:rPr>
                <w:rFonts w:hint="eastAsia" w:ascii="仿宋_GB2312" w:hAnsi="仿宋" w:eastAsia="仿宋_GB2312"/>
                <w:b/>
                <w:sz w:val="24"/>
                <w:szCs w:val="21"/>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center"/>
          </w:tcPr>
          <w:p>
            <w:pPr>
              <w:keepNext w:val="0"/>
              <w:keepLines w:val="0"/>
              <w:pageBreakBefore w:val="0"/>
              <w:kinsoku/>
              <w:wordWrap/>
              <w:overflowPunct/>
              <w:topLinePunct w:val="0"/>
              <w:autoSpaceDE/>
              <w:autoSpaceDN/>
              <w:bidi w:val="0"/>
              <w:adjustRightInd/>
              <w:snapToGrid/>
              <w:spacing w:line="29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一、党建与思想政治工作</w:t>
            </w:r>
          </w:p>
          <w:p>
            <w:pPr>
              <w:keepNext w:val="0"/>
              <w:keepLines w:val="0"/>
              <w:pageBreakBefore w:val="0"/>
              <w:kinsoku/>
              <w:wordWrap/>
              <w:overflowPunct/>
              <w:topLinePunct w:val="0"/>
              <w:autoSpaceDE/>
              <w:autoSpaceDN/>
              <w:bidi w:val="0"/>
              <w:adjustRightInd/>
              <w:snapToGrid/>
              <w:spacing w:line="290" w:lineRule="exact"/>
              <w:ind w:firstLine="480" w:firstLineChars="200"/>
              <w:textAlignment w:val="auto"/>
              <w:rPr>
                <w:rFonts w:asciiTheme="minorEastAsia" w:hAnsiTheme="minorEastAsia" w:cstheme="minorEastAsia"/>
                <w:bCs/>
                <w:sz w:val="24"/>
                <w:szCs w:val="24"/>
              </w:rPr>
            </w:pPr>
            <w:r>
              <w:rPr>
                <w:rFonts w:hint="eastAsia" w:asciiTheme="minorEastAsia" w:hAnsiTheme="minorEastAsia" w:cstheme="minorEastAsia"/>
                <w:bCs/>
                <w:sz w:val="24"/>
                <w:szCs w:val="24"/>
              </w:rPr>
              <w:t>计算机与信息学院、软件学院党委扎实开展学习贯彻习近平新时代中国特色社会主义思想主题教育，全面学习宣传贯彻党的二十大精神；坚决贯彻落实全面从严治党主体责任，坚持理论中心组学习制度、规范召开党委会和党政联席会议，严格执行“三重一大”决策程序；严格落实意识形态工作责任制，重点实施师德集中学习教育工作，加强教师课堂思政、科研思政和网络平台的管理引导；本科生第一党支部获批安徽省第四批“样板支部”；坚持教育定点帮扶“半月谈”品牌活动，不断探索服务乡村振兴的新模式；重视对离退休人员、困难职工的走访慰问；主动听取党外代表人士意见，发挥民主党派成员积极作用。</w:t>
            </w:r>
          </w:p>
          <w:p>
            <w:pPr>
              <w:keepNext w:val="0"/>
              <w:keepLines w:val="0"/>
              <w:pageBreakBefore w:val="0"/>
              <w:kinsoku/>
              <w:wordWrap/>
              <w:overflowPunct/>
              <w:topLinePunct w:val="0"/>
              <w:autoSpaceDE/>
              <w:autoSpaceDN/>
              <w:bidi w:val="0"/>
              <w:adjustRightInd/>
              <w:snapToGrid/>
              <w:spacing w:line="29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二、教学工作</w:t>
            </w:r>
          </w:p>
          <w:p>
            <w:pPr>
              <w:keepNext w:val="0"/>
              <w:keepLines w:val="0"/>
              <w:pageBreakBefore w:val="0"/>
              <w:kinsoku/>
              <w:wordWrap/>
              <w:overflowPunct/>
              <w:topLinePunct w:val="0"/>
              <w:autoSpaceDE/>
              <w:autoSpaceDN/>
              <w:bidi w:val="0"/>
              <w:adjustRightInd/>
              <w:snapToGrid/>
              <w:spacing w:line="290" w:lineRule="exact"/>
              <w:ind w:firstLine="480" w:firstLineChars="200"/>
              <w:textAlignment w:val="auto"/>
              <w:rPr>
                <w:rFonts w:asciiTheme="minorEastAsia" w:hAnsiTheme="minorEastAsia" w:cstheme="minorEastAsia"/>
                <w:bCs/>
                <w:sz w:val="24"/>
                <w:szCs w:val="24"/>
              </w:rPr>
            </w:pPr>
            <w:r>
              <w:rPr>
                <w:rFonts w:hint="eastAsia" w:asciiTheme="minorEastAsia" w:hAnsiTheme="minorEastAsia" w:cstheme="minorEastAsia"/>
                <w:bCs/>
                <w:sz w:val="24"/>
                <w:szCs w:val="24"/>
              </w:rPr>
              <w:t>开展计算机科学与技术等四个国家级一流本科专业的建设工作，从做实做强课程设计、产教融合、科教融合等方面进行了突破，基本形成了高质量的新工科人才培养生态。洪日昌教授获国家教学成果一等奖（排序2）；高隽教授获“省级研究生教学名师”；夏娜教授团队获“省级教学创新团队”；黎洁副教授获“省级教坛新秀”。张国富教授获教育部-华为“智能基座”优秀教师奖励计划奖项（全国仅20人）；黎洁副教授荣获安徽省“教学创新大赛”二等奖；新增出版“电子工业出版社”等教材6部。我院大学生获省级及以上学科竞赛奖项286项,其中国家级奖励80项，获“互联网+”国赛银奖2项、“挑战杯”国赛银奖1项，“双创”教育成果丰硕。学院持续开展“半月谈”教育定点帮扶品牌活动，开设了多场主题讲座，促进了利辛县新能源学校、机电科技学校的教学发展，践行了高校服务乡村振兴的新模式。</w:t>
            </w:r>
          </w:p>
          <w:p>
            <w:pPr>
              <w:keepNext w:val="0"/>
              <w:keepLines w:val="0"/>
              <w:pageBreakBefore w:val="0"/>
              <w:kinsoku/>
              <w:wordWrap/>
              <w:overflowPunct/>
              <w:topLinePunct w:val="0"/>
              <w:autoSpaceDE/>
              <w:autoSpaceDN/>
              <w:bidi w:val="0"/>
              <w:adjustRightInd/>
              <w:snapToGrid/>
              <w:spacing w:line="29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新增出台了教学文件四项，包括《计算机与信息学院毕业设计（论文）教学管理制度修订版》等，完善了人才培养制度体系。完成了2023版各专业的培养方案修订，一方面引入行业主流技术和新技术，加强了一些专业课程，新增了交叉学科课程；另一方面形成了“项目式课程”的建设方案，并计划在2021级本科生中先行先试。建设了七个“新型本科教学实验室”，全面激活了学院创新创业人才培养工作，2023年我院大学生学科竞赛成绩再创新高。主动出击招生宣传工作，提前半年（12月份）进高中进行宣讲，以最强的师资投入招生宣传，为我校吸引了大批优秀生源。</w:t>
            </w:r>
          </w:p>
          <w:p>
            <w:pPr>
              <w:keepNext w:val="0"/>
              <w:keepLines w:val="0"/>
              <w:pageBreakBefore w:val="0"/>
              <w:kinsoku/>
              <w:wordWrap/>
              <w:overflowPunct/>
              <w:topLinePunct w:val="0"/>
              <w:autoSpaceDE/>
              <w:autoSpaceDN/>
              <w:bidi w:val="0"/>
              <w:adjustRightInd/>
              <w:snapToGrid/>
              <w:spacing w:line="29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三、科研工作</w:t>
            </w:r>
          </w:p>
          <w:p>
            <w:pPr>
              <w:keepNext w:val="0"/>
              <w:keepLines w:val="0"/>
              <w:pageBreakBefore w:val="0"/>
              <w:kinsoku/>
              <w:wordWrap/>
              <w:overflowPunct/>
              <w:topLinePunct w:val="0"/>
              <w:autoSpaceDE/>
              <w:autoSpaceDN/>
              <w:bidi w:val="0"/>
              <w:adjustRightInd/>
              <w:snapToGrid/>
              <w:spacing w:line="290" w:lineRule="exact"/>
              <w:ind w:firstLine="480" w:firstLineChars="200"/>
              <w:textAlignment w:val="auto"/>
              <w:rPr>
                <w:rFonts w:asciiTheme="minorEastAsia" w:hAnsiTheme="minorEastAsia" w:cstheme="minorEastAsia"/>
                <w:bCs/>
                <w:sz w:val="24"/>
                <w:szCs w:val="24"/>
              </w:rPr>
            </w:pPr>
            <w:r>
              <w:rPr>
                <w:rFonts w:hint="eastAsia" w:asciiTheme="minorEastAsia" w:hAnsiTheme="minorEastAsia" w:cstheme="minorEastAsia"/>
                <w:bCs/>
                <w:sz w:val="24"/>
                <w:szCs w:val="24"/>
              </w:rPr>
              <w:t>汪萌教授入选科睿唯安2023度“高被引科学家”名单，洪日昌教授荣获中国图象图形学学会自然科学奖二等奖。郭艳蓉教授作为课题负责人获批重点研发计划项目。学院2023年获批国家自然科学基金23项，12项面上、11项青年。2022年到帐经费共4314万，其中横向1286万、纵向3028万。</w:t>
            </w:r>
          </w:p>
          <w:p>
            <w:pPr>
              <w:keepNext w:val="0"/>
              <w:keepLines w:val="0"/>
              <w:pageBreakBefore w:val="0"/>
              <w:kinsoku/>
              <w:wordWrap/>
              <w:overflowPunct/>
              <w:topLinePunct w:val="0"/>
              <w:autoSpaceDE/>
              <w:autoSpaceDN/>
              <w:bidi w:val="0"/>
              <w:adjustRightInd/>
              <w:snapToGrid/>
              <w:spacing w:line="290" w:lineRule="exact"/>
              <w:ind w:firstLine="480" w:firstLineChars="200"/>
              <w:textAlignment w:val="auto"/>
              <w:rPr>
                <w:rFonts w:asciiTheme="minorEastAsia" w:hAnsiTheme="minorEastAsia" w:cstheme="minorEastAsia"/>
                <w:bCs/>
                <w:sz w:val="24"/>
                <w:szCs w:val="24"/>
              </w:rPr>
            </w:pPr>
            <w:r>
              <w:rPr>
                <w:rFonts w:hint="eastAsia" w:asciiTheme="minorEastAsia" w:hAnsiTheme="minorEastAsia" w:cstheme="minorEastAsia"/>
                <w:bCs/>
                <w:sz w:val="24"/>
                <w:szCs w:val="24"/>
              </w:rPr>
              <w:t>此外，国家“111计划”老人福祉信息科技创新引智基地通过了2023年度教育部组织的验收评估工作，获得滚动支持。学院持续推进合肥综合性国家科学中心人工智能研究院、数据空间研究院发展工作。申请发明专利190项。</w:t>
            </w:r>
          </w:p>
          <w:p>
            <w:pPr>
              <w:keepNext w:val="0"/>
              <w:keepLines w:val="0"/>
              <w:pageBreakBefore w:val="0"/>
              <w:widowControl/>
              <w:kinsoku/>
              <w:wordWrap/>
              <w:overflowPunct/>
              <w:topLinePunct w:val="0"/>
              <w:autoSpaceDE/>
              <w:autoSpaceDN/>
              <w:bidi w:val="0"/>
              <w:adjustRightInd/>
              <w:snapToGrid/>
              <w:spacing w:line="290" w:lineRule="exact"/>
              <w:ind w:firstLine="482" w:firstLineChars="200"/>
              <w:jc w:val="left"/>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四、学科建设与研究生工作</w:t>
            </w:r>
          </w:p>
          <w:p>
            <w:pPr>
              <w:keepNext w:val="0"/>
              <w:keepLines w:val="0"/>
              <w:pageBreakBefore w:val="0"/>
              <w:kinsoku/>
              <w:wordWrap/>
              <w:overflowPunct/>
              <w:topLinePunct w:val="0"/>
              <w:autoSpaceDE/>
              <w:autoSpaceDN/>
              <w:bidi w:val="0"/>
              <w:adjustRightInd/>
              <w:snapToGrid/>
              <w:spacing w:line="290" w:lineRule="exact"/>
              <w:ind w:firstLine="480" w:firstLineChars="200"/>
              <w:textAlignment w:val="auto"/>
              <w:rPr>
                <w:rFonts w:asciiTheme="minorEastAsia" w:hAnsiTheme="minorEastAsia" w:cstheme="minorEastAsia"/>
                <w:bCs/>
                <w:sz w:val="24"/>
                <w:szCs w:val="24"/>
              </w:rPr>
            </w:pPr>
            <w:r>
              <w:rPr>
                <w:rFonts w:hint="eastAsia" w:asciiTheme="minorEastAsia" w:hAnsiTheme="minorEastAsia" w:cstheme="minorEastAsia"/>
                <w:bCs/>
                <w:sz w:val="24"/>
                <w:szCs w:val="24"/>
              </w:rPr>
              <w:t>第五轮学科评估中，计算机科科学与技术、软件工程、信息与通信工程评估结果分别为B+、B、B-。“计算机科学”ESI学科排名由2022年的137名提升至111名。“计算机科学与技术”“通信工程”被列入2023“软科世界一流学科”，其中“计算机科学与技术排名32，位列前12%。</w:t>
            </w:r>
          </w:p>
          <w:p>
            <w:pPr>
              <w:keepNext w:val="0"/>
              <w:keepLines w:val="0"/>
              <w:pageBreakBefore w:val="0"/>
              <w:kinsoku/>
              <w:wordWrap/>
              <w:overflowPunct/>
              <w:topLinePunct w:val="0"/>
              <w:autoSpaceDE/>
              <w:autoSpaceDN/>
              <w:bidi w:val="0"/>
              <w:adjustRightInd/>
              <w:snapToGrid/>
              <w:spacing w:line="290" w:lineRule="exact"/>
              <w:ind w:firstLine="480" w:firstLineChars="200"/>
              <w:textAlignment w:val="auto"/>
              <w:rPr>
                <w:rFonts w:asciiTheme="minorEastAsia" w:hAnsiTheme="minorEastAsia" w:cstheme="minorEastAsia"/>
                <w:bCs/>
                <w:sz w:val="24"/>
                <w:szCs w:val="24"/>
              </w:rPr>
            </w:pPr>
            <w:r>
              <w:rPr>
                <w:rFonts w:hint="eastAsia" w:asciiTheme="minorEastAsia" w:hAnsiTheme="minorEastAsia" w:cstheme="minorEastAsia"/>
                <w:bCs/>
                <w:sz w:val="24"/>
                <w:szCs w:val="24"/>
              </w:rPr>
              <w:t>2023年入学全日制学术型硕士研究生117名，专业型硕士研究生171人，非全日制硕士研究生18名，211及以上生源总数103人，占总比的36%。2023年入学博士研究生45名，其中留学生1人，硕博连读生8人，占博士招生总人数的比例为18%。在2024年免试研究生录取工作中共录取推免生126人（其中本校21人）。严格审核学位论文，按照学校的要求组织集中答辩，毕业论文优良率100%；研究生参与竞赛项目共获省部级及以上奖项60项；圆满完成了博导和硕导的遴选与审核工作，开展新导师的培训工作；持续推进计算机与信息学院（人工智能学院）研究生培养质量督导组工作，完善导师指导质量的监督办法。</w:t>
            </w:r>
          </w:p>
          <w:p>
            <w:pPr>
              <w:keepNext w:val="0"/>
              <w:keepLines w:val="0"/>
              <w:pageBreakBefore w:val="0"/>
              <w:widowControl/>
              <w:kinsoku/>
              <w:wordWrap/>
              <w:overflowPunct/>
              <w:topLinePunct w:val="0"/>
              <w:autoSpaceDE/>
              <w:autoSpaceDN/>
              <w:bidi w:val="0"/>
              <w:adjustRightInd/>
              <w:snapToGrid/>
              <w:spacing w:line="290" w:lineRule="exact"/>
              <w:ind w:firstLine="482" w:firstLineChars="200"/>
              <w:jc w:val="left"/>
              <w:textAlignment w:val="auto"/>
              <w:rPr>
                <w:rFonts w:asciiTheme="minorEastAsia" w:hAnsiTheme="minorEastAsia" w:cstheme="minorEastAsia"/>
                <w:kern w:val="0"/>
                <w:sz w:val="24"/>
                <w:szCs w:val="24"/>
              </w:rPr>
            </w:pPr>
            <w:r>
              <w:rPr>
                <w:rFonts w:hint="eastAsia" w:asciiTheme="minorEastAsia" w:hAnsiTheme="minorEastAsia" w:cstheme="minorEastAsia"/>
                <w:b/>
                <w:sz w:val="24"/>
                <w:szCs w:val="24"/>
              </w:rPr>
              <w:t>五、人才与师资工作</w:t>
            </w:r>
          </w:p>
          <w:p>
            <w:pPr>
              <w:keepNext w:val="0"/>
              <w:keepLines w:val="0"/>
              <w:pageBreakBefore w:val="0"/>
              <w:kinsoku/>
              <w:wordWrap/>
              <w:overflowPunct/>
              <w:topLinePunct w:val="0"/>
              <w:autoSpaceDE/>
              <w:autoSpaceDN/>
              <w:bidi w:val="0"/>
              <w:adjustRightInd/>
              <w:snapToGrid/>
              <w:spacing w:line="290" w:lineRule="exact"/>
              <w:ind w:firstLine="480" w:firstLineChars="200"/>
              <w:textAlignment w:val="auto"/>
              <w:rPr>
                <w:rFonts w:asciiTheme="minorEastAsia" w:hAnsiTheme="minorEastAsia" w:cstheme="minorEastAsia"/>
                <w:bCs/>
                <w:sz w:val="24"/>
                <w:szCs w:val="24"/>
              </w:rPr>
            </w:pPr>
            <w:r>
              <w:rPr>
                <w:rFonts w:hint="eastAsia" w:asciiTheme="minorEastAsia" w:hAnsiTheme="minorEastAsia" w:cstheme="minorEastAsia"/>
                <w:bCs/>
                <w:sz w:val="24"/>
                <w:szCs w:val="24"/>
              </w:rPr>
              <w:t>汪萌教授入选科睿唯安2023年度“高被引科学家”名单。王杨教授获批中组部青年拔尖人才支持计划。2023年度引进海外优青2人，入职副研究员2人、青年教师9人。</w:t>
            </w:r>
          </w:p>
          <w:p>
            <w:pPr>
              <w:keepNext w:val="0"/>
              <w:keepLines w:val="0"/>
              <w:pageBreakBefore w:val="0"/>
              <w:widowControl/>
              <w:kinsoku/>
              <w:wordWrap/>
              <w:overflowPunct/>
              <w:topLinePunct w:val="0"/>
              <w:autoSpaceDE/>
              <w:autoSpaceDN/>
              <w:bidi w:val="0"/>
              <w:adjustRightInd/>
              <w:snapToGrid/>
              <w:spacing w:line="290" w:lineRule="exact"/>
              <w:ind w:firstLine="482" w:firstLineChars="200"/>
              <w:jc w:val="left"/>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六、学生工作</w:t>
            </w:r>
          </w:p>
          <w:p>
            <w:pPr>
              <w:keepNext w:val="0"/>
              <w:keepLines w:val="0"/>
              <w:pageBreakBefore w:val="0"/>
              <w:kinsoku/>
              <w:wordWrap/>
              <w:overflowPunct/>
              <w:topLinePunct w:val="0"/>
              <w:autoSpaceDE/>
              <w:autoSpaceDN/>
              <w:bidi w:val="0"/>
              <w:adjustRightInd/>
              <w:snapToGrid/>
              <w:spacing w:line="290" w:lineRule="exact"/>
              <w:ind w:firstLine="480" w:firstLineChars="200"/>
              <w:textAlignment w:val="auto"/>
              <w:rPr>
                <w:rFonts w:asciiTheme="minorEastAsia" w:hAnsiTheme="minorEastAsia" w:cstheme="minorEastAsia"/>
                <w:bCs/>
                <w:sz w:val="24"/>
                <w:szCs w:val="24"/>
              </w:rPr>
            </w:pPr>
            <w:r>
              <w:rPr>
                <w:rFonts w:hint="eastAsia" w:asciiTheme="minorEastAsia" w:hAnsiTheme="minorEastAsia" w:cstheme="minorEastAsia"/>
                <w:bCs/>
                <w:sz w:val="24"/>
                <w:szCs w:val="24"/>
              </w:rPr>
              <w:t>学院团委再次获评校“五四红旗团委”；本科生第一党支部获省高校党建示范创建和质量创优发展“省级样板支部”培育；全员参与就业工作，院领导带头访企拓岗，新签约就业实习基地37家（全校最多），本科生就业率为97.82%（全校第五），研究生就业率100%（并列第一）；强化底线思维，健全学生管理网格，本年度及时发现干预学生严重心理危机事件3起，未发生重大学生安全事故，学院心理健康教育示范中心持续获得立项建设（全校5个）；获批大学生暑期“三下乡”项目国家级团队1支、省级团队3支项，校级团队12支，各类成果丰硕，学院被评为“优秀组织单位”；获第十八届“挑战杯”比赛国家级二等奖1项（全校唯一，最好成绩）、三等奖1项，省级一等奖、二等奖、三等奖各1项，校级奖项12项，学院为“优胜杯”获奖单位（全校2个）；学院5名本科生入选校“十佳大学生”，2名研究生入选校“十佳研究生”，1人入选校“大学生年度人物”，1人获评第六届全国“百佳心理委员”（全校唯一），2名学生获得大学生职业规划大赛特等奖（均进入省级决赛，全校最好成绩），学院获“优秀组织单位”。辅导员获批校思政研究项目和工作实践项目10余项，共有6人被评为年度“优秀辅导员”和先进个人荣誉称号（获评人数全校最多）。</w:t>
            </w:r>
          </w:p>
          <w:p>
            <w:pPr>
              <w:keepNext w:val="0"/>
              <w:keepLines w:val="0"/>
              <w:pageBreakBefore w:val="0"/>
              <w:widowControl/>
              <w:kinsoku/>
              <w:wordWrap/>
              <w:overflowPunct/>
              <w:topLinePunct w:val="0"/>
              <w:autoSpaceDE/>
              <w:autoSpaceDN/>
              <w:bidi w:val="0"/>
              <w:adjustRightInd/>
              <w:snapToGrid/>
              <w:spacing w:line="290" w:lineRule="exact"/>
              <w:ind w:firstLine="482" w:firstLineChars="200"/>
              <w:jc w:val="left"/>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七、国有资产管理与财务</w:t>
            </w:r>
          </w:p>
          <w:p>
            <w:pPr>
              <w:keepNext w:val="0"/>
              <w:keepLines w:val="0"/>
              <w:pageBreakBefore w:val="0"/>
              <w:kinsoku/>
              <w:wordWrap/>
              <w:overflowPunct/>
              <w:topLinePunct w:val="0"/>
              <w:autoSpaceDE/>
              <w:autoSpaceDN/>
              <w:bidi w:val="0"/>
              <w:adjustRightInd/>
              <w:snapToGrid/>
              <w:spacing w:line="290" w:lineRule="exact"/>
              <w:ind w:firstLine="480" w:firstLineChars="200"/>
              <w:textAlignment w:val="auto"/>
              <w:rPr>
                <w:rFonts w:hint="eastAsia" w:asciiTheme="minorEastAsia" w:hAnsiTheme="minorEastAsia" w:cstheme="minorEastAsia"/>
                <w:bCs/>
                <w:sz w:val="24"/>
                <w:szCs w:val="24"/>
              </w:rPr>
            </w:pPr>
            <w:r>
              <w:rPr>
                <w:rFonts w:hint="eastAsia" w:asciiTheme="minorEastAsia" w:hAnsiTheme="minorEastAsia" w:cstheme="minorEastAsia"/>
                <w:sz w:val="24"/>
                <w:szCs w:val="24"/>
              </w:rPr>
              <w:t>严格遵循“三重一大”决策制度，严格执行国有资产、公房、经费使用管理制度，着重做好科研经费的使用监督。做好资产盘点和公房使用统计工作。。</w:t>
            </w:r>
            <w:r>
              <w:rPr>
                <w:rFonts w:hint="eastAsia" w:asciiTheme="minorEastAsia" w:hAnsiTheme="minorEastAsia" w:cstheme="minorEastAsia"/>
                <w:bCs/>
                <w:sz w:val="24"/>
                <w:szCs w:val="24"/>
              </w:rPr>
              <w:t>学院</w:t>
            </w:r>
            <w:r>
              <w:rPr>
                <w:rFonts w:hint="eastAsia" w:asciiTheme="minorEastAsia" w:hAnsiTheme="minorEastAsia" w:cstheme="minorEastAsia"/>
                <w:sz w:val="24"/>
                <w:szCs w:val="24"/>
              </w:rPr>
              <w:t>各类常规和专项经费的执行均做到及时合理,日常管理中分工明确、责任到人、制度严格、管理到位、监督有效。</w:t>
            </w:r>
            <w:r>
              <w:rPr>
                <w:rFonts w:hint="eastAsia" w:asciiTheme="minorEastAsia" w:hAnsiTheme="minorEastAsia" w:cstheme="minorEastAsia"/>
                <w:bCs/>
                <w:sz w:val="24"/>
                <w:szCs w:val="24"/>
              </w:rPr>
              <w:t>资产管理严格按照学校学院相关规定，及时登记、入账、检查、核对。</w:t>
            </w:r>
          </w:p>
          <w:p>
            <w:pPr>
              <w:keepNext w:val="0"/>
              <w:keepLines w:val="0"/>
              <w:pageBreakBefore w:val="0"/>
              <w:kinsoku/>
              <w:wordWrap/>
              <w:overflowPunct/>
              <w:topLinePunct w:val="0"/>
              <w:autoSpaceDE/>
              <w:autoSpaceDN/>
              <w:bidi w:val="0"/>
              <w:adjustRightInd/>
              <w:snapToGrid/>
              <w:spacing w:line="29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八、国际化</w:t>
            </w:r>
          </w:p>
          <w:p>
            <w:pPr>
              <w:keepNext w:val="0"/>
              <w:keepLines w:val="0"/>
              <w:pageBreakBefore w:val="0"/>
              <w:kinsoku/>
              <w:wordWrap/>
              <w:overflowPunct/>
              <w:topLinePunct w:val="0"/>
              <w:autoSpaceDE/>
              <w:autoSpaceDN/>
              <w:bidi w:val="0"/>
              <w:adjustRightInd/>
              <w:snapToGrid/>
              <w:spacing w:line="29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2023年5名博士研究生赴国外联合培养。2023年招收留学生5人（其中港澳台地区2人），毕业留学生6人，目前在读留学生14人（其中博士研究生4人，硕士研究生5人，本科生5人）。</w:t>
            </w:r>
          </w:p>
          <w:p>
            <w:pPr>
              <w:keepNext w:val="0"/>
              <w:keepLines w:val="0"/>
              <w:pageBreakBefore w:val="0"/>
              <w:widowControl/>
              <w:kinsoku/>
              <w:wordWrap/>
              <w:overflowPunct/>
              <w:topLinePunct w:val="0"/>
              <w:autoSpaceDE/>
              <w:autoSpaceDN/>
              <w:bidi w:val="0"/>
              <w:adjustRightInd/>
              <w:snapToGrid/>
              <w:spacing w:line="290" w:lineRule="exact"/>
              <w:ind w:firstLine="482" w:firstLineChars="200"/>
              <w:jc w:val="left"/>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九、学院运行</w:t>
            </w:r>
          </w:p>
          <w:p>
            <w:pPr>
              <w:keepNext w:val="0"/>
              <w:keepLines w:val="0"/>
              <w:pageBreakBefore w:val="0"/>
              <w:kinsoku/>
              <w:wordWrap/>
              <w:overflowPunct/>
              <w:topLinePunct w:val="0"/>
              <w:autoSpaceDE/>
              <w:autoSpaceDN/>
              <w:bidi w:val="0"/>
              <w:adjustRightInd/>
              <w:snapToGrid/>
              <w:spacing w:line="290" w:lineRule="exact"/>
              <w:ind w:firstLine="480" w:firstLineChars="200"/>
              <w:jc w:val="left"/>
              <w:textAlignment w:val="auto"/>
              <w:rPr>
                <w:rFonts w:ascii="仿宋_GB2312" w:hAnsi="仿宋" w:eastAsia="仿宋_GB2312" w:cs="仿宋"/>
                <w:sz w:val="21"/>
                <w:szCs w:val="21"/>
              </w:rPr>
            </w:pPr>
            <w:r>
              <w:rPr>
                <w:rFonts w:hint="eastAsia" w:asciiTheme="minorEastAsia" w:hAnsiTheme="minorEastAsia" w:cstheme="minorEastAsia"/>
                <w:sz w:val="24"/>
                <w:szCs w:val="24"/>
              </w:rPr>
              <w:t>学院认真开好党政联席会议，贯彻执行学校各项行政管理决定。各项工作制度健全，安排有序，完成良好。高度重视安全稳定工作，建立党政“一把手”亲自抓、负总责，分管领导具体抓，各单位各司其职，责任到人机制。开展安全检查，全年未有违反学校安全管理及综合治理规定情况，无安全事故发生。积极做好各类档案和文件归档、数据统计上报工作；认真做好新闻报道和信息传送工作;全年未发生重大泄密事件，未有紧急重要信息迟报、漏报、瞒报等情况。</w:t>
            </w:r>
          </w:p>
        </w:tc>
      </w:tr>
    </w:tbl>
    <w:p>
      <w:pPr>
        <w:pStyle w:val="4"/>
        <w:rPr>
          <w:rFonts w:hint="eastAsia"/>
          <w:shd w:val="clear" w:color="auto" w:fill="FFFFFF"/>
        </w:rPr>
      </w:pPr>
      <w:bookmarkStart w:id="10" w:name="_Toc4653"/>
      <w:r>
        <w:rPr>
          <w:rFonts w:hint="eastAsia"/>
          <w:shd w:val="clear" w:color="auto" w:fill="FFFFFF"/>
        </w:rPr>
        <w:t>软件学院2023年度业绩简表</w:t>
      </w:r>
      <w:bookmarkEnd w:id="10"/>
    </w:p>
    <w:tbl>
      <w:tblPr>
        <w:tblStyle w:val="12"/>
        <w:tblW w:w="0" w:type="auto"/>
        <w:tblInd w:w="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2947"/>
        <w:gridCol w:w="1730"/>
        <w:gridCol w:w="2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614" w:type="dxa"/>
            <w:vAlign w:val="center"/>
          </w:tcPr>
          <w:p>
            <w:pPr>
              <w:jc w:val="center"/>
              <w:rPr>
                <w:rFonts w:ascii="仿宋" w:hAnsi="仿宋" w:eastAsia="仿宋"/>
                <w:b/>
                <w:sz w:val="24"/>
                <w:szCs w:val="21"/>
              </w:rPr>
            </w:pPr>
            <w:r>
              <w:rPr>
                <w:rFonts w:hint="eastAsia" w:ascii="仿宋" w:hAnsi="仿宋" w:eastAsia="仿宋"/>
                <w:b/>
                <w:sz w:val="24"/>
                <w:szCs w:val="21"/>
              </w:rPr>
              <w:t>单位名称</w:t>
            </w:r>
          </w:p>
        </w:tc>
        <w:tc>
          <w:tcPr>
            <w:tcW w:w="2947" w:type="dxa"/>
            <w:vAlign w:val="center"/>
          </w:tcPr>
          <w:p>
            <w:pPr>
              <w:rPr>
                <w:rFonts w:ascii="仿宋" w:hAnsi="仿宋" w:eastAsia="仿宋"/>
                <w:b/>
                <w:sz w:val="24"/>
                <w:szCs w:val="21"/>
              </w:rPr>
            </w:pPr>
            <w:r>
              <w:rPr>
                <w:rFonts w:hint="eastAsia" w:ascii="仿宋" w:hAnsi="仿宋" w:eastAsia="仿宋"/>
                <w:b/>
                <w:sz w:val="24"/>
                <w:szCs w:val="21"/>
              </w:rPr>
              <w:t xml:space="preserve">    软件学院</w:t>
            </w:r>
          </w:p>
        </w:tc>
        <w:tc>
          <w:tcPr>
            <w:tcW w:w="1730" w:type="dxa"/>
            <w:vAlign w:val="center"/>
          </w:tcPr>
          <w:p>
            <w:pPr>
              <w:jc w:val="center"/>
              <w:rPr>
                <w:rFonts w:ascii="仿宋" w:hAnsi="仿宋" w:eastAsia="仿宋"/>
                <w:b/>
                <w:sz w:val="24"/>
                <w:szCs w:val="21"/>
              </w:rPr>
            </w:pPr>
            <w:r>
              <w:rPr>
                <w:rFonts w:hint="eastAsia" w:ascii="仿宋" w:hAnsi="仿宋" w:eastAsia="仿宋"/>
                <w:b/>
                <w:sz w:val="24"/>
                <w:szCs w:val="21"/>
              </w:rPr>
              <w:t>单位职工数</w:t>
            </w:r>
          </w:p>
        </w:tc>
        <w:tc>
          <w:tcPr>
            <w:tcW w:w="2477" w:type="dxa"/>
            <w:vAlign w:val="center"/>
          </w:tcPr>
          <w:p>
            <w:pPr>
              <w:jc w:val="center"/>
              <w:rPr>
                <w:rFonts w:ascii="仿宋" w:hAnsi="仿宋" w:eastAsia="仿宋"/>
                <w:b/>
                <w:sz w:val="24"/>
                <w:szCs w:val="21"/>
              </w:rPr>
            </w:pPr>
            <w:r>
              <w:rPr>
                <w:rFonts w:hint="eastAsia" w:ascii="仿宋" w:hAnsi="仿宋" w:eastAsia="仿宋"/>
                <w:b/>
                <w:sz w:val="24"/>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768" w:type="dxa"/>
            <w:gridSpan w:val="4"/>
            <w:vAlign w:val="center"/>
          </w:tcPr>
          <w:p>
            <w:pPr>
              <w:keepNext w:val="0"/>
              <w:keepLines w:val="0"/>
              <w:pageBreakBefore w:val="0"/>
              <w:widowControl w:val="0"/>
              <w:kinsoku/>
              <w:wordWrap/>
              <w:overflowPunct/>
              <w:topLinePunct w:val="0"/>
              <w:autoSpaceDE/>
              <w:autoSpaceDN/>
              <w:bidi w:val="0"/>
              <w:adjustRightInd/>
              <w:snapToGrid/>
              <w:spacing w:line="280" w:lineRule="exact"/>
              <w:ind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一、党建与思想政治工作</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计算机与信息学院、软件学院党委扎实开展学习贯彻习近平新时代中国特色社会主义思想主题教育，全面学习宣传贯彻党的二十大精神；坚决贯彻落实全面从严治党主体责任，坚持理论中心组学习制度、规范召开党委会和党政联席会议，严格执行“三重一大”决策程序；严格落实意识形态工作责任制，重点实施师德集中学习教育工作，加强教师课堂思政、科研思政和网络平台的管理引导；本科生第一党支部获批安徽省第四批“样板支部”；坚持教育定点帮扶“半月谈”品牌活动，不断探索服务乡村振兴的新模式；重视对离退休人员、困难职工的走访慰问；主动听取党外代表人士意见，发挥民主党派成员积极作用。</w:t>
            </w:r>
          </w:p>
          <w:p>
            <w:pPr>
              <w:keepNext w:val="0"/>
              <w:keepLines w:val="0"/>
              <w:pageBreakBefore w:val="0"/>
              <w:widowControl w:val="0"/>
              <w:numPr>
                <w:ilvl w:val="0"/>
                <w:numId w:val="1"/>
              </w:numPr>
              <w:kinsoku/>
              <w:wordWrap/>
              <w:overflowPunct/>
              <w:topLinePunct w:val="0"/>
              <w:autoSpaceDE/>
              <w:autoSpaceDN/>
              <w:bidi w:val="0"/>
              <w:adjustRightInd/>
              <w:snapToGrid/>
              <w:spacing w:line="280" w:lineRule="exact"/>
              <w:ind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教学工作</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教学日常工作的正常、有序、稳定运行。通过教师研讨，学生座谈等举措，优化安排相关课程的教学、实验、考试环节，努力保障学院教学的稳定、有序运行。同时，重视本科生转专业、保研推免工作，针对有异议的问题和同学积极做好解释和疏导，做到零投诉。全年无教学事故发生。</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软件工程专业持续推进省级一流专业建设。学院基于过往专业建设积累，有重点的对若干重要节点进行补强，重点聚焦深化实训体系内涵建设和毕业设计过程管理提质增效，在学校本科毕业设计过程检查通知中受到学校教务处通报表扬。</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完成2023版软件工程专业培养方案的工作。学院按照工程教育认证的要求，从多方面吸收培养方案修改意见并进行反复研讨，经过学院教职委的论证以及高水平985高校和大型上市企业的外审，完成了2023版软件工程专业培养方案的定稿。</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继续推动教学研究和教学改革。积极组织2023年省级质量工程项目的申报工作，获批省级重点1项，省级一般1项，教学成果一等奖1项（公示中）。结题1项省级教学改革研究项目（结题成绩优秀）。学院教师主编2023年度出版教材一本（清华大学出版社）。</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召开软件学院第三届教学研讨会。2023年7月，学院召开第三届教学研讨会，通过主题为“软件工程专业教学管理质量提升与改进”的研讨，为所有老师提供关于“专业培养中教学管理质量提升”交流和思考的机会，同时希望将改进措施能够实际应用于实践教学。</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6）继续做好软件工程专业本科生培养质量的关键环节——实训环节。在实训前，组织实训承办单位（科大国创）进行多次实训方案论证，从队伍分组、课程内容设计、实训班级管理、讲师说课、考核考察等多方面对企业提供的方案进行研讨，确保实训质量。</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（7）继续做好学校的招生宣传工作。2023年学院获得招生宣传鼓励奖。</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（8）创新创业教育持续产出。 “工业软件与互联网+创新中心”开放引进队伍进入；2023年软件学院获得“互联网+”等三大赛省部级金奖1项，银奖4项、铜奖1项。各类排行榜、AB类赛事国家级奖励34人、省级奖83人。持续承办CCF CSP认证，组织中国大学生计算机设计大赛、中国大学生服务外包创新创业大赛的校内选拔赛，获中国大学生计算机设计大赛省级赛优秀组织奖。</w:t>
            </w:r>
          </w:p>
          <w:p>
            <w:pPr>
              <w:keepNext w:val="0"/>
              <w:keepLines w:val="0"/>
              <w:pageBreakBefore w:val="0"/>
              <w:widowControl w:val="0"/>
              <w:numPr>
                <w:ilvl w:val="0"/>
                <w:numId w:val="1"/>
              </w:numPr>
              <w:kinsoku/>
              <w:wordWrap/>
              <w:overflowPunct/>
              <w:topLinePunct w:val="0"/>
              <w:autoSpaceDE/>
              <w:autoSpaceDN/>
              <w:bidi w:val="0"/>
              <w:adjustRightInd/>
              <w:snapToGrid/>
              <w:spacing w:line="280" w:lineRule="exact"/>
              <w:ind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学科建设与科研工作</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2023年度学院国家重点研发计划项目、国家自然科学基金面上项目、安徽高校协同创新项目等纵向科研项目4项，全年到账经费90.14万元，横向项目新立项6项，全年到账经费191.7万元。发表各类高水平论文21篇。</w:t>
            </w:r>
          </w:p>
          <w:p>
            <w:pPr>
              <w:keepNext w:val="0"/>
              <w:keepLines w:val="0"/>
              <w:pageBreakBefore w:val="0"/>
              <w:widowControl w:val="0"/>
              <w:numPr>
                <w:ilvl w:val="0"/>
                <w:numId w:val="1"/>
              </w:numPr>
              <w:kinsoku/>
              <w:wordWrap/>
              <w:overflowPunct/>
              <w:topLinePunct w:val="0"/>
              <w:autoSpaceDE/>
              <w:autoSpaceDN/>
              <w:bidi w:val="0"/>
              <w:adjustRightInd/>
              <w:snapToGrid/>
              <w:spacing w:line="280" w:lineRule="exact"/>
              <w:ind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人才与师资工作</w:t>
            </w:r>
          </w:p>
          <w:p>
            <w:pPr>
              <w:keepNext w:val="0"/>
              <w:keepLines w:val="0"/>
              <w:pageBreakBefore w:val="0"/>
              <w:widowControl w:val="0"/>
              <w:numPr>
                <w:ilvl w:val="0"/>
                <w:numId w:val="2"/>
              </w:numPr>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继续完善外聘教师与院内教师开展联合教学的“A+B”新模式，取长补短。一方面解决院内教师软件技术栈难以与企业一线技术栈实时同步问题，另一方面解决外聘老师在教学方法、教学过程材料整理方面的不足。</w:t>
            </w:r>
          </w:p>
          <w:p>
            <w:pPr>
              <w:keepNext w:val="0"/>
              <w:keepLines w:val="0"/>
              <w:pageBreakBefore w:val="0"/>
              <w:widowControl w:val="0"/>
              <w:numPr>
                <w:ilvl w:val="0"/>
                <w:numId w:val="2"/>
              </w:numPr>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学院继续强化外聘教师审核管理工作，包括签订意识形态责任书等工作。</w:t>
            </w:r>
          </w:p>
          <w:p>
            <w:pPr>
              <w:keepNext w:val="0"/>
              <w:keepLines w:val="0"/>
              <w:pageBreakBefore w:val="0"/>
              <w:widowControl w:val="0"/>
              <w:kinsoku/>
              <w:wordWrap/>
              <w:overflowPunct/>
              <w:topLinePunct w:val="0"/>
              <w:autoSpaceDE/>
              <w:autoSpaceDN/>
              <w:bidi w:val="0"/>
              <w:adjustRightInd/>
              <w:snapToGrid/>
              <w:spacing w:line="280" w:lineRule="exact"/>
              <w:ind w:firstLine="482"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
                <w:sz w:val="24"/>
                <w:szCs w:val="24"/>
              </w:rPr>
              <w:t>五、学生工作</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坚持以立德树人为根本任务，紧紧围绕深入学习贯彻党的二十大精神主线，通过理论宣讲、文化熏陶、实践养成等多个途径，强化学生思想政治引领。开展相关主题教育活动40余次，小班辅导、主题班会48场。开展“榜样追寻”红色研学行，实现低年级学生参与活动率100%。共发展党员22人，转正党员21人。</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积极构建“乐学、导学、督学、辅学、助学”五位一体学风建设体系。学生挂科率控制在6%左右，学生转专业率为零。2022年校“一站式”学生社区学生宿舍楼层文化项目以“优秀”结题。</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做好分层分类精准资助，实现家庭经济困难学生资助全覆盖。累计评审奖助学金161人次，总金额585400元；走访家庭经济困难学生家庭13户；累计发放临时困难补助148人次，总金额36500元。</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构建“四聚焦四精准”就业工作体系，院系领导走访16家企业，举办专场招聘会20余场。现有实习就业基地49家，单位信息库337家。2023届本科毕业生就业率达到98.21%，位于全校第二。</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 xml:space="preserve">学院两次心理普测率、两次心理约谈率均为100%。各年级春秋季排查测评率、约谈率、学院学生心理动态评估在学工系统录入率均为100%。实施“青橙驿站”心理朋辈帮扶工程，开展心理教育活动近20场。成功干预心理危机事件4起，获批校心理育人品牌项目1项。 </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强化基层团组织建设，“青年大学习”、新发展团员录入、学社衔接、对标定级、专题教育完成度均实现100%，获批学生会服务学生精品项目 1 项、团支部特色活动立项 3 项，获校“五四红旗团支部”1个，1人获校“优秀团支部书记”。与芙蓉、方兴等多个社区建立“合作共建”项目。实施“青英成长计划”，开设前端、后端训练营共4期。学院学生获国家级科技竞赛奖34人次；省级及以上科技竞赛奖117人次。学生团队连续三年入驻HFUT创新创业大数据中心。学院暑期“三下乡”社会实践获校级奖励27项，2支团队获“优秀实践团队”，1名老师获优秀指导老师，学院荣获暑期社会实践“优秀组织单位”。</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学院辅导员100%参与教学，参与省级项目2项，获批校级学生工作项目14项；撰写论文3篇、工作案例5篇 、网文20余篇。1人获校青年教师教学基本功比赛二等奖；1人获校精彩主题班会大赛三等奖。1人获评校优秀辅导员、1人获评校学生工作先进个人、1人获军训工作“优秀指导员”、1人被评为学院优秀团委书记。</w:t>
            </w:r>
          </w:p>
          <w:p>
            <w:pPr>
              <w:keepNext w:val="0"/>
              <w:keepLines w:val="0"/>
              <w:pageBreakBefore w:val="0"/>
              <w:widowControl w:val="0"/>
              <w:kinsoku/>
              <w:wordWrap/>
              <w:overflowPunct/>
              <w:topLinePunct w:val="0"/>
              <w:autoSpaceDE/>
              <w:autoSpaceDN/>
              <w:bidi w:val="0"/>
              <w:adjustRightInd/>
              <w:snapToGrid/>
              <w:spacing w:line="280" w:lineRule="exact"/>
              <w:ind w:firstLine="482" w:firstLineChars="200"/>
              <w:textAlignment w:val="auto"/>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六、国有资产管理与财务</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color w:val="000000"/>
                <w:sz w:val="24"/>
                <w:szCs w:val="24"/>
              </w:rPr>
              <w:t>学院严格执行国有资产管理制度和规则，保证帐物相符。严格遵循各类经费使用管理规定，做到</w:t>
            </w:r>
            <w:r>
              <w:rPr>
                <w:rFonts w:hint="eastAsia" w:asciiTheme="minorEastAsia" w:hAnsiTheme="minorEastAsia" w:eastAsiaTheme="minorEastAsia" w:cstheme="minorEastAsia"/>
                <w:sz w:val="24"/>
                <w:szCs w:val="24"/>
              </w:rPr>
              <w:t>分工明确、责任到人、管理到位、监督有效，本年度</w:t>
            </w:r>
            <w:r>
              <w:rPr>
                <w:rFonts w:hint="eastAsia" w:asciiTheme="minorEastAsia" w:hAnsiTheme="minorEastAsia" w:eastAsiaTheme="minorEastAsia" w:cstheme="minorEastAsia"/>
                <w:bCs/>
                <w:color w:val="000000"/>
                <w:sz w:val="24"/>
                <w:szCs w:val="24"/>
              </w:rPr>
              <w:t>无任何违规使用情况。</w:t>
            </w:r>
            <w:r>
              <w:rPr>
                <w:rFonts w:hint="eastAsia" w:asciiTheme="minorEastAsia" w:hAnsiTheme="minorEastAsia" w:eastAsiaTheme="minorEastAsia" w:cstheme="minorEastAsia"/>
                <w:sz w:val="24"/>
                <w:szCs w:val="24"/>
              </w:rPr>
              <w:t>制定学院公房管理暂行办法,做好资产盘点和公房使用统计工作。</w:t>
            </w:r>
            <w:r>
              <w:rPr>
                <w:rFonts w:hint="eastAsia" w:asciiTheme="minorEastAsia" w:hAnsiTheme="minorEastAsia" w:eastAsiaTheme="minorEastAsia" w:cstheme="minorEastAsia"/>
                <w:bCs/>
                <w:sz w:val="24"/>
                <w:szCs w:val="24"/>
              </w:rPr>
              <w:t>资产管理确保及时登记、入账、检查、核对等，确保准确性、完整性和可追溯性。</w:t>
            </w:r>
          </w:p>
          <w:p>
            <w:pPr>
              <w:keepNext w:val="0"/>
              <w:keepLines w:val="0"/>
              <w:pageBreakBefore w:val="0"/>
              <w:widowControl w:val="0"/>
              <w:kinsoku/>
              <w:wordWrap/>
              <w:overflowPunct/>
              <w:topLinePunct w:val="0"/>
              <w:autoSpaceDE/>
              <w:autoSpaceDN/>
              <w:bidi w:val="0"/>
              <w:adjustRightInd/>
              <w:snapToGrid/>
              <w:spacing w:line="280" w:lineRule="exact"/>
              <w:ind w:firstLine="482" w:firstLineChars="200"/>
              <w:textAlignment w:val="auto"/>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七、学院运行</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ascii="仿宋" w:hAnsi="仿宋" w:eastAsia="仿宋" w:cs="仿宋"/>
                <w:sz w:val="21"/>
                <w:szCs w:val="21"/>
              </w:rPr>
            </w:pPr>
            <w:r>
              <w:rPr>
                <w:rFonts w:hint="eastAsia" w:asciiTheme="minorEastAsia" w:hAnsiTheme="minorEastAsia" w:eastAsiaTheme="minorEastAsia" w:cstheme="minorEastAsia"/>
                <w:bCs/>
                <w:color w:val="000000"/>
                <w:sz w:val="24"/>
                <w:szCs w:val="24"/>
              </w:rPr>
              <w:t>认真贯彻执行学校各项管理政策和规定，积极落实、督办各项工作任务，确保政令畅通。</w:t>
            </w:r>
            <w:r>
              <w:rPr>
                <w:rFonts w:hint="eastAsia" w:asciiTheme="minorEastAsia" w:hAnsiTheme="minorEastAsia" w:eastAsiaTheme="minorEastAsia" w:cstheme="minorEastAsia"/>
                <w:sz w:val="24"/>
                <w:szCs w:val="24"/>
              </w:rPr>
              <w:t>各项工作制度完备，安排有序，</w:t>
            </w:r>
            <w:r>
              <w:rPr>
                <w:rFonts w:hint="eastAsia" w:asciiTheme="minorEastAsia" w:hAnsiTheme="minorEastAsia" w:eastAsiaTheme="minorEastAsia" w:cstheme="minorEastAsia"/>
                <w:bCs/>
                <w:color w:val="000000"/>
                <w:sz w:val="24"/>
                <w:szCs w:val="24"/>
              </w:rPr>
              <w:t>有效保障学院教学、科研的正常运行</w:t>
            </w:r>
            <w:r>
              <w:rPr>
                <w:rFonts w:hint="eastAsia" w:asciiTheme="minorEastAsia" w:hAnsiTheme="minorEastAsia" w:eastAsiaTheme="minorEastAsia" w:cstheme="minorEastAsia"/>
                <w:sz w:val="24"/>
                <w:szCs w:val="24"/>
              </w:rPr>
              <w:t>。高度重视安全稳定工作，建立党政“一把手”亲自抓、负总责，分管领导具体负责，责任到人机制。</w:t>
            </w:r>
            <w:r>
              <w:rPr>
                <w:rFonts w:hint="eastAsia" w:asciiTheme="minorEastAsia" w:hAnsiTheme="minorEastAsia" w:eastAsiaTheme="minorEastAsia" w:cstheme="minorEastAsia"/>
                <w:bCs/>
                <w:color w:val="000000"/>
                <w:sz w:val="24"/>
                <w:szCs w:val="24"/>
              </w:rPr>
              <w:t>落实学校关于实验室安全管理工作，无违反学校实验室安全管理条例的现象发生。认真准备、积极组织实验室管理人员参加“合肥工业大学第一届实验室安全技能大赛”，获得全校二等奖（非涉化组第一名）。</w:t>
            </w:r>
            <w:r>
              <w:rPr>
                <w:rFonts w:hint="eastAsia" w:asciiTheme="minorEastAsia" w:hAnsiTheme="minorEastAsia" w:eastAsiaTheme="minorEastAsia" w:cstheme="minorEastAsia"/>
                <w:sz w:val="24"/>
                <w:szCs w:val="24"/>
              </w:rPr>
              <w:t>全年未发生重大泄密事件，未有紧急重要信息迟报、漏报、瞒报等情况。</w:t>
            </w:r>
          </w:p>
        </w:tc>
      </w:tr>
    </w:tbl>
    <w:p>
      <w:r>
        <w:br w:type="page"/>
      </w:r>
    </w:p>
    <w:p>
      <w:pPr>
        <w:pStyle w:val="4"/>
        <w:spacing w:line="579" w:lineRule="auto"/>
        <w:rPr>
          <w:rFonts w:asciiTheme="majorEastAsia" w:hAnsiTheme="majorEastAsia" w:cstheme="majorEastAsia"/>
          <w:sz w:val="32"/>
          <w:szCs w:val="32"/>
          <w:shd w:val="clear" w:color="auto" w:fill="FFFFFF"/>
        </w:rPr>
      </w:pPr>
      <w:bookmarkStart w:id="11" w:name="_Toc21101"/>
      <w:r>
        <w:rPr>
          <w:rFonts w:hint="eastAsia" w:asciiTheme="majorEastAsia" w:hAnsiTheme="majorEastAsia" w:cstheme="majorEastAsia"/>
          <w:sz w:val="30"/>
          <w:szCs w:val="30"/>
          <w:shd w:val="clear" w:color="auto" w:fill="FFFFFF"/>
        </w:rPr>
        <w:t>土木与水利工程学院2023年度业绩简表</w:t>
      </w:r>
      <w:bookmarkEnd w:id="11"/>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7"/>
        <w:gridCol w:w="2888"/>
        <w:gridCol w:w="1703"/>
        <w:gridCol w:w="2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7" w:type="dxa"/>
            <w:vAlign w:val="center"/>
          </w:tcPr>
          <w:p>
            <w:pPr>
              <w:jc w:val="center"/>
              <w:rPr>
                <w:rFonts w:ascii="仿宋" w:hAnsi="仿宋" w:eastAsia="仿宋"/>
                <w:b/>
                <w:sz w:val="24"/>
                <w:szCs w:val="21"/>
              </w:rPr>
            </w:pPr>
            <w:r>
              <w:rPr>
                <w:rFonts w:hint="eastAsia" w:ascii="仿宋" w:hAnsi="仿宋" w:eastAsia="仿宋"/>
                <w:b/>
                <w:sz w:val="24"/>
                <w:szCs w:val="21"/>
              </w:rPr>
              <w:t>单位名称</w:t>
            </w:r>
          </w:p>
        </w:tc>
        <w:tc>
          <w:tcPr>
            <w:tcW w:w="2888" w:type="dxa"/>
            <w:vAlign w:val="center"/>
          </w:tcPr>
          <w:p>
            <w:pPr>
              <w:jc w:val="center"/>
              <w:rPr>
                <w:rFonts w:ascii="仿宋" w:hAnsi="仿宋" w:eastAsia="仿宋"/>
                <w:b/>
                <w:sz w:val="24"/>
                <w:szCs w:val="21"/>
              </w:rPr>
            </w:pPr>
            <w:r>
              <w:rPr>
                <w:rFonts w:hint="eastAsia" w:ascii="仿宋" w:hAnsi="仿宋" w:eastAsia="仿宋"/>
                <w:b/>
                <w:sz w:val="24"/>
                <w:szCs w:val="21"/>
              </w:rPr>
              <w:t>土木与水利工程学院</w:t>
            </w:r>
          </w:p>
        </w:tc>
        <w:tc>
          <w:tcPr>
            <w:tcW w:w="1703" w:type="dxa"/>
            <w:vAlign w:val="center"/>
          </w:tcPr>
          <w:p>
            <w:pPr>
              <w:jc w:val="center"/>
              <w:rPr>
                <w:rFonts w:ascii="仿宋" w:hAnsi="仿宋" w:eastAsia="仿宋"/>
                <w:b/>
                <w:sz w:val="24"/>
                <w:szCs w:val="21"/>
              </w:rPr>
            </w:pPr>
            <w:r>
              <w:rPr>
                <w:rFonts w:hint="eastAsia" w:ascii="仿宋" w:hAnsi="仿宋" w:eastAsia="仿宋"/>
                <w:b/>
                <w:sz w:val="24"/>
                <w:szCs w:val="21"/>
              </w:rPr>
              <w:t>单位职工数</w:t>
            </w:r>
          </w:p>
        </w:tc>
        <w:tc>
          <w:tcPr>
            <w:tcW w:w="2282" w:type="dxa"/>
            <w:vAlign w:val="center"/>
          </w:tcPr>
          <w:p>
            <w:pPr>
              <w:jc w:val="center"/>
              <w:rPr>
                <w:rFonts w:ascii="仿宋" w:hAnsi="仿宋" w:eastAsia="仿宋"/>
                <w:b/>
                <w:sz w:val="24"/>
                <w:szCs w:val="21"/>
              </w:rPr>
            </w:pPr>
            <w:r>
              <w:rPr>
                <w:rFonts w:hint="eastAsia" w:ascii="仿宋" w:hAnsi="仿宋" w:eastAsia="仿宋"/>
                <w:b/>
                <w:sz w:val="24"/>
                <w:szCs w:val="21"/>
              </w:rPr>
              <w:t>2</w:t>
            </w:r>
            <w:r>
              <w:rPr>
                <w:rFonts w:ascii="仿宋" w:hAnsi="仿宋" w:eastAsia="仿宋"/>
                <w:b/>
                <w:sz w:val="24"/>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00"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90" w:lineRule="exact"/>
              <w:ind w:firstLine="482" w:firstLineChars="200"/>
              <w:textAlignment w:val="auto"/>
              <w:rPr>
                <w:rFonts w:hint="eastAsia" w:asciiTheme="minorEastAsia" w:hAnsiTheme="minorEastAsia" w:eastAsiaTheme="minorEastAsia" w:cstheme="minorEastAsia"/>
                <w:b/>
                <w:bCs/>
                <w:sz w:val="24"/>
                <w:szCs w:val="24"/>
              </w:rPr>
            </w:pPr>
            <w:bookmarkStart w:id="12" w:name="_Hlk155002913"/>
            <w:r>
              <w:rPr>
                <w:rFonts w:hint="eastAsia" w:asciiTheme="minorEastAsia" w:hAnsiTheme="minorEastAsia" w:eastAsiaTheme="minorEastAsia" w:cstheme="minorEastAsia"/>
                <w:b/>
                <w:bCs/>
                <w:sz w:val="24"/>
                <w:szCs w:val="24"/>
              </w:rPr>
              <w:t>一、党建和思想政治工作</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1.深入开展学习贯彻习近平新时代中国特色社会主义思想主题教育，开展学习征文等活动。</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2.获批全省高校五星级党支部，四星级党支部；获评安徽省高校“研究生党员标兵”，推荐全国高校“百名研究生党员标兵”；获评安徽省样板党支部2个，推荐申报全国党建工作样板支部。</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3.新发展教工党员1名，学生党员120名。加强建设浦玉学安徽省劳模工作室；开展学院“我心目中的好老师”评选；配合巡视巡察工作。</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4.学院纪委承办“廉心文语”主题征文活动，获平面创意作品二等奖；演讲比赛二等奖、优秀奖各1项；主题征文活动特等奖、优秀奖各1项；优秀组织奖。</w:t>
            </w:r>
          </w:p>
          <w:p>
            <w:pPr>
              <w:keepNext w:val="0"/>
              <w:keepLines w:val="0"/>
              <w:pageBreakBefore w:val="0"/>
              <w:widowControl w:val="0"/>
              <w:kinsoku/>
              <w:wordWrap/>
              <w:overflowPunct/>
              <w:topLinePunct w:val="0"/>
              <w:autoSpaceDE/>
              <w:autoSpaceDN/>
              <w:bidi w:val="0"/>
              <w:adjustRightInd w:val="0"/>
              <w:snapToGrid w:val="0"/>
              <w:spacing w:line="29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二、教学与研究培养工作</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5.建筑环境与能源应用工程专业通过国家工程教育认证（6年期）。</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6.获安徽省第六届高校青年教师教学竞赛一等奖；获校级青年教师教学竞赛一等奖、二等奖。</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7.获推荐安徽省教学成果奖特等奖1项、一等奖1项。</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8.新编教材7部，其中出版工业和信息化部“十四五”规划教材1本；重新印刷第二次出版“十三五”国家重点出版物出版规划项目2本；出版全英文教材1本；入选第一批石油和化工行业“十四五”规划教材3本。</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9.完成了江苏省、北京市、阜阳市招生宣传任务，其中江苏省招生排名位次上升4000多位。</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10.制定了2023年度本科专业教学计划；省部级以上各类竞赛每百名学生获奖率达60%以上。</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11.力学一级学科博士点建设评估（核验）获得通过。</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12.获省级优秀博士学位论文1篇，中国地球物理学会优秀博士论文1篇，国际国内会议优秀论文4篇。</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13.录取了2024级推荐免试硕士研究生38人，比去年增加了90%；首次招收工程管理非全日制专业硕士研究生35名。</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14.2023年研究生论文评审优良率达到90.3%（大于75分）。</w:t>
            </w:r>
          </w:p>
          <w:p>
            <w:pPr>
              <w:keepNext w:val="0"/>
              <w:keepLines w:val="0"/>
              <w:pageBreakBefore w:val="0"/>
              <w:widowControl w:val="0"/>
              <w:kinsoku/>
              <w:wordWrap/>
              <w:overflowPunct/>
              <w:topLinePunct w:val="0"/>
              <w:autoSpaceDE/>
              <w:autoSpaceDN/>
              <w:bidi w:val="0"/>
              <w:adjustRightInd w:val="0"/>
              <w:snapToGrid w:val="0"/>
              <w:spacing w:line="29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三、科研工作与学科建设</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15.2023年学院获批国家自然科学基金项目18项，获批总数连续3年位列全校第二；获批国家重点研发计划课题1项、专题5项；科研经费6000余万，增长14%。</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获省部级科技奖10项，其中以第一完成单位获奖4项（二等奖2项、三等奖2项），参与获奖5项（一等奖4项、三等奖2项）；发表高水平论文约350篇，其中SCI论文250篇；授权发明专利46项，软件著作权25项；科研成果转化多项。</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17.土木工程与结构安徽省重点实验室在安徽省科学厅实验室重组中评为优秀。</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18.承办有影响力的国际、国内学术会议7次，包括“国家自然科学基金委、工程与材料科学部水文水资源学科方向与前沿研讨会”等。</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加强智库建设与服务，服务国家级1项、地方5项。参与科技部组织的“中国氢能技术发展路线”撰写；为教育部提供“我国城市防汛存在的困难问题及对策建议”；参与制定《合肥市智能建造关键技术及产业应用情况研究》等5项政策，为省市政府提供智库支持。</w:t>
            </w:r>
          </w:p>
          <w:p>
            <w:pPr>
              <w:keepNext w:val="0"/>
              <w:keepLines w:val="0"/>
              <w:pageBreakBefore w:val="0"/>
              <w:widowControl w:val="0"/>
              <w:kinsoku/>
              <w:wordWrap/>
              <w:overflowPunct/>
              <w:topLinePunct w:val="0"/>
              <w:autoSpaceDE/>
              <w:autoSpaceDN/>
              <w:bidi w:val="0"/>
              <w:adjustRightInd w:val="0"/>
              <w:snapToGrid w:val="0"/>
              <w:spacing w:line="29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四、人才与师资工作</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20.制定了学院师资队伍建设规划（2023年-2025年），引进黄山学者优秀青年、教授2人，副研究员2人，讲师3人；外聘国内外教授8人；晋升教授2人，副教授6人。</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21.入选爱思唯尔发布的“中国高被引学者”榜单1人；入选美国斯坦福大学和爱思唯尔数据库发布的全球前2%科学家榜单6人；入选安徽省杰青1人，安徽百人计划1人，安徽省青拔1人，海外博士后人才计划2人。</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22.引进中国科学院院士李杰教授为战略科学家，法国水科学院院士Isam Shahrour教授及8位知名学者。  </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23.推动产教融合、科教融合。获批安徽省研究生联合培养基地2个；聘请全国行业导师38人，并举行首期聘任仪式。</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24.推进三种经历培养。6名青年教师签订校企博士后培养，对口支援新疆农业大学、北方民族大学挂职锻炼2人，江苏仪征市挂职1人。</w:t>
            </w:r>
          </w:p>
          <w:p>
            <w:pPr>
              <w:keepNext w:val="0"/>
              <w:keepLines w:val="0"/>
              <w:pageBreakBefore w:val="0"/>
              <w:widowControl w:val="0"/>
              <w:kinsoku/>
              <w:wordWrap/>
              <w:overflowPunct/>
              <w:topLinePunct w:val="0"/>
              <w:autoSpaceDE/>
              <w:autoSpaceDN/>
              <w:bidi w:val="0"/>
              <w:adjustRightInd w:val="0"/>
              <w:snapToGrid w:val="0"/>
              <w:spacing w:line="29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五、国际化交流与合作</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25.承办了第二届可持续结构国际会议；申报国家级高端外国专家1项、安徽省外国专家2项；获批安徽省外国专家项目1项；入选美国土木工程师协会顶级SCI期刊编委1人；建设学院英文网站。</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26.出版全英文课程1门；与意大利比萨大学达成了中外合作办学合作意向。</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27.加强高层次海外人才引进。引进国外博士全职工作3人；聘任国外院士、教授等5人。</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28.招收留学生博士生、硕士生2人，本科生12人；目前学院在校留学生人数占全校留学生人数1/7。</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29.推动研究生出国留学深造或参加国际会议。8位本科生、研究生出国攻读学位或联合培养；研究生参加国际会议30余场次。</w:t>
            </w:r>
          </w:p>
          <w:p>
            <w:pPr>
              <w:keepNext w:val="0"/>
              <w:keepLines w:val="0"/>
              <w:pageBreakBefore w:val="0"/>
              <w:widowControl w:val="0"/>
              <w:kinsoku/>
              <w:wordWrap/>
              <w:overflowPunct/>
              <w:topLinePunct w:val="0"/>
              <w:autoSpaceDE/>
              <w:autoSpaceDN/>
              <w:bidi w:val="0"/>
              <w:adjustRightInd w:val="0"/>
              <w:snapToGrid w:val="0"/>
              <w:spacing w:line="29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六、学生工作与共青团工作</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30.开展“大工程里的思政课”，实现导师制全覆盖，开展“院士面对面”和“对话”等高端交流论坛。</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31.网格管理，守护心灵。举办各类人身、财产、心理安全等教育活动20余场；举办首届学院“千人素质拓展”。</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32.聚力惠生，高质就业。访企拓岗交流28场，精准就业实习双选会1场，专场招聘会100余场，实现2020级就业实习全覆盖，本科生就业率98.18%，研究生就业率98.75%。</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丰富团学，守正创新。获评校“五四红旗团委”1个；举办体育文化节等品牌文化活动60余场；暑期“三下乡”2支团队“优秀”结题；获省“挑战杯”等省部级奖项50余项；获校运动会合肥校区第一名，校新生篮球赛，足球赛冠军，校手球联赛冠军，“联合会杯”足球赛亚军。</w:t>
            </w:r>
          </w:p>
          <w:p>
            <w:pPr>
              <w:keepNext w:val="0"/>
              <w:keepLines w:val="0"/>
              <w:pageBreakBefore w:val="0"/>
              <w:widowControl w:val="0"/>
              <w:kinsoku/>
              <w:wordWrap/>
              <w:overflowPunct/>
              <w:topLinePunct w:val="0"/>
              <w:autoSpaceDE/>
              <w:autoSpaceDN/>
              <w:bidi w:val="0"/>
              <w:adjustRightInd w:val="0"/>
              <w:snapToGrid w:val="0"/>
              <w:spacing w:line="29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七、行政工作（国有资产管理与财务、学院运行）</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34.严格遵循学院“三重一大”决策制度；2023年预算经费执行率均在90%以上。</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35.全面盘点学院公房，提升公房利用率，落实引进人才和晋职称人员共12人次用房调整和分配。</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36.制定完善了《土木与水利工程学院教职工考勤管理实施细则》等多项制度；召开党政联席会议35次，讨论议题300余项。</w:t>
            </w:r>
          </w:p>
          <w:p>
            <w:pPr>
              <w:keepNext w:val="0"/>
              <w:keepLines w:val="0"/>
              <w:pageBreakBefore w:val="0"/>
              <w:widowControl w:val="0"/>
              <w:kinsoku/>
              <w:wordWrap/>
              <w:overflowPunct/>
              <w:topLinePunct w:val="0"/>
              <w:autoSpaceDE/>
              <w:autoSpaceDN/>
              <w:bidi w:val="0"/>
              <w:adjustRightInd w:val="0"/>
              <w:snapToGrid w:val="0"/>
              <w:spacing w:line="290" w:lineRule="exact"/>
              <w:ind w:firstLine="480" w:firstLineChars="200"/>
              <w:textAlignment w:val="auto"/>
              <w:rPr>
                <w:rFonts w:ascii="仿宋" w:hAnsi="仿宋" w:eastAsia="仿宋"/>
              </w:rPr>
            </w:pPr>
            <w:r>
              <w:rPr>
                <w:rFonts w:hint="eastAsia" w:asciiTheme="minorEastAsia" w:hAnsiTheme="minorEastAsia" w:eastAsiaTheme="minorEastAsia" w:cstheme="minorEastAsia"/>
                <w:sz w:val="24"/>
                <w:szCs w:val="24"/>
              </w:rPr>
              <w:t>37.制定《土木与水利工程学院法治工作实施方案》、就《领导干部应知应会党内法规和国家法律汇编》组织普法教育。</w:t>
            </w:r>
          </w:p>
        </w:tc>
      </w:tr>
      <w:bookmarkEnd w:id="12"/>
    </w:tbl>
    <w:p>
      <w:pPr>
        <w:pStyle w:val="4"/>
        <w:spacing w:line="579" w:lineRule="auto"/>
        <w:rPr>
          <w:rFonts w:asciiTheme="majorEastAsia" w:hAnsiTheme="majorEastAsia" w:cstheme="majorEastAsia"/>
          <w:sz w:val="32"/>
          <w:szCs w:val="32"/>
          <w:shd w:val="clear" w:color="auto" w:fill="FFFFFF"/>
        </w:rPr>
      </w:pPr>
      <w:r>
        <w:br w:type="page"/>
      </w:r>
      <w:bookmarkStart w:id="13" w:name="_Toc10308"/>
      <w:r>
        <w:rPr>
          <w:rFonts w:hint="eastAsia" w:asciiTheme="majorEastAsia" w:hAnsiTheme="majorEastAsia" w:cstheme="majorEastAsia"/>
          <w:sz w:val="30"/>
          <w:szCs w:val="30"/>
          <w:shd w:val="clear" w:color="auto" w:fill="FFFFFF"/>
          <w:lang w:eastAsia="zh-CN"/>
        </w:rPr>
        <w:t>化学与化工</w:t>
      </w:r>
      <w:r>
        <w:rPr>
          <w:rFonts w:hint="eastAsia" w:asciiTheme="majorEastAsia" w:hAnsiTheme="majorEastAsia" w:cstheme="majorEastAsia"/>
          <w:sz w:val="30"/>
          <w:szCs w:val="30"/>
          <w:shd w:val="clear" w:color="auto" w:fill="FFFFFF"/>
        </w:rPr>
        <w:t>学院2023年度业绩简表</w:t>
      </w:r>
      <w:bookmarkEnd w:id="13"/>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2177"/>
        <w:gridCol w:w="2565"/>
        <w:gridCol w:w="1530"/>
        <w:gridCol w:w="3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90" w:hRule="atLeast"/>
          <w:jc w:val="center"/>
        </w:trPr>
        <w:tc>
          <w:tcPr>
            <w:tcW w:w="2177"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单位名称</w:t>
            </w:r>
          </w:p>
        </w:tc>
        <w:tc>
          <w:tcPr>
            <w:tcW w:w="2565"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化学与化工学院</w:t>
            </w:r>
          </w:p>
        </w:tc>
        <w:tc>
          <w:tcPr>
            <w:tcW w:w="1530"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单位职工数</w:t>
            </w:r>
          </w:p>
        </w:tc>
        <w:tc>
          <w:tcPr>
            <w:tcW w:w="3028"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853" w:hRule="atLeast"/>
          <w:jc w:val="center"/>
        </w:trPr>
        <w:tc>
          <w:tcPr>
            <w:tcW w:w="9300" w:type="dxa"/>
            <w:gridSpan w:val="4"/>
            <w:tcBorders>
              <w:top w:val="single" w:color="000000" w:sz="8" w:space="0"/>
              <w:left w:val="single" w:color="000000" w:sz="8" w:space="0"/>
              <w:bottom w:val="single" w:color="000000" w:sz="8" w:space="0"/>
              <w:right w:val="single" w:color="000000" w:sz="8" w:space="0"/>
            </w:tcBorders>
            <w:vAlign w:val="center"/>
          </w:tcPr>
          <w:p>
            <w:pPr>
              <w:keepNext w:val="0"/>
              <w:keepLines w:val="0"/>
              <w:pageBreakBefore w:val="0"/>
              <w:kinsoku/>
              <w:wordWrap/>
              <w:overflowPunct/>
              <w:topLinePunct w:val="0"/>
              <w:autoSpaceDE/>
              <w:autoSpaceDN/>
              <w:bidi w:val="0"/>
              <w:adjustRightInd w:val="0"/>
              <w:snapToGrid w:val="0"/>
              <w:spacing w:line="250" w:lineRule="exact"/>
              <w:ind w:firstLine="442" w:firstLineChars="200"/>
              <w:jc w:val="both"/>
              <w:textAlignment w:val="auto"/>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一、党建与思想政治相关工作</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1.做好学院领导班子成员、党委委员调整增选工作。认真落实党建责任，落实“一岗双责”，认真开展思政教育、党风廉政、师德师风教育。</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2.严格执行党政联席会议制度、党支部书记工作会议制度、党员领导干部联系支部和师生制度。坚持民主集中制原则，</w:t>
            </w:r>
            <w:r>
              <w:rPr>
                <w:rFonts w:hint="eastAsia" w:ascii="宋体" w:hAnsi="宋体" w:eastAsia="宋体" w:cs="宋体"/>
                <w:color w:val="000000"/>
                <w:sz w:val="22"/>
                <w:szCs w:val="22"/>
              </w:rPr>
              <w:t>召开党委会22次，党政联席会28次。</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w:t>
            </w:r>
            <w:r>
              <w:rPr>
                <w:rFonts w:hint="eastAsia" w:ascii="宋体" w:hAnsi="宋体" w:eastAsia="宋体" w:cs="宋体"/>
                <w:color w:val="000000"/>
                <w:kern w:val="0"/>
                <w:sz w:val="22"/>
                <w:szCs w:val="22"/>
              </w:rPr>
              <w:t>.2023年学院分党校</w:t>
            </w:r>
            <w:r>
              <w:rPr>
                <w:rFonts w:hint="eastAsia" w:ascii="宋体" w:hAnsi="宋体" w:eastAsia="宋体" w:cs="宋体"/>
                <w:color w:val="000000"/>
                <w:sz w:val="22"/>
                <w:szCs w:val="22"/>
              </w:rPr>
              <w:t>培养入党积极分子160名，发展预备党员60名、转正60名。办理组织关系转出122人次，接收81人次。</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w:t>
            </w:r>
            <w:r>
              <w:rPr>
                <w:rFonts w:hint="eastAsia" w:ascii="宋体" w:hAnsi="宋体" w:eastAsia="宋体" w:cs="宋体"/>
                <w:color w:val="000000"/>
                <w:kern w:val="0"/>
                <w:sz w:val="22"/>
                <w:szCs w:val="22"/>
              </w:rPr>
              <w:t>.</w:t>
            </w:r>
            <w:r>
              <w:rPr>
                <w:rFonts w:hint="eastAsia" w:ascii="宋体" w:hAnsi="宋体" w:eastAsia="宋体" w:cs="宋体"/>
                <w:color w:val="000000"/>
                <w:sz w:val="22"/>
                <w:szCs w:val="22"/>
              </w:rPr>
              <w:t>校级党支部特色活动，新增立项重点项目1项、一般项目1项，化工技术中心教工党支部作为全国党建工作“样板支部”培育创建单位、获批全省高校五星级党支部，化工工艺系教工党支部获批校级双带头人教师党支部书记工作室培育创建单位。</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5.贯彻</w:t>
            </w:r>
            <w:r>
              <w:rPr>
                <w:rFonts w:hint="eastAsia" w:ascii="宋体" w:hAnsi="宋体" w:eastAsia="宋体" w:cs="宋体"/>
                <w:color w:val="000000"/>
                <w:kern w:val="0"/>
                <w:sz w:val="22"/>
                <w:szCs w:val="22"/>
              </w:rPr>
              <w:t>落实意识形态工作责任制</w:t>
            </w:r>
            <w:r>
              <w:rPr>
                <w:rFonts w:hint="eastAsia" w:ascii="宋体" w:hAnsi="宋体" w:eastAsia="宋体" w:cs="宋体"/>
                <w:color w:val="000000"/>
                <w:sz w:val="22"/>
                <w:szCs w:val="22"/>
              </w:rPr>
              <w:t>。多种形式宣传报道学院工作，亮点工作被安徽日报等媒体报道。</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w:t>
            </w:r>
            <w:r>
              <w:rPr>
                <w:rFonts w:hint="eastAsia" w:ascii="宋体" w:hAnsi="宋体" w:eastAsia="宋体" w:cs="宋体"/>
                <w:color w:val="000000"/>
                <w:kern w:val="0"/>
                <w:sz w:val="22"/>
                <w:szCs w:val="22"/>
              </w:rPr>
              <w:t>.</w:t>
            </w:r>
            <w:r>
              <w:rPr>
                <w:rFonts w:hint="eastAsia" w:ascii="宋体" w:hAnsi="宋体" w:eastAsia="宋体" w:cs="宋体"/>
                <w:color w:val="000000"/>
                <w:sz w:val="22"/>
                <w:szCs w:val="22"/>
              </w:rPr>
              <w:t>认真落实领导班子成员联系民主党派成员制度，落实一线规则，听取师生意见建议。</w:t>
            </w:r>
          </w:p>
          <w:p>
            <w:pPr>
              <w:pStyle w:val="24"/>
              <w:keepNext w:val="0"/>
              <w:keepLines w:val="0"/>
              <w:pageBreakBefore w:val="0"/>
              <w:kinsoku/>
              <w:wordWrap/>
              <w:overflowPunct/>
              <w:topLinePunct w:val="0"/>
              <w:autoSpaceDE/>
              <w:autoSpaceDN/>
              <w:bidi w:val="0"/>
              <w:spacing w:before="0" w:beforeAutospacing="0" w:after="0" w:afterAutospacing="0"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7.发挥二级教代会、工会作用，向校教代会提案2项。</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8.累计定向帮扶采购14万元，开展精准科技支农帮扶工作。</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9.学院课程思政中心推动课程思政建设，推荐申报省级课程思政示范课程1项。</w:t>
            </w:r>
          </w:p>
          <w:p>
            <w:pPr>
              <w:keepNext w:val="0"/>
              <w:keepLines w:val="0"/>
              <w:pageBreakBefore w:val="0"/>
              <w:kinsoku/>
              <w:wordWrap/>
              <w:overflowPunct/>
              <w:topLinePunct w:val="0"/>
              <w:autoSpaceDE/>
              <w:autoSpaceDN/>
              <w:bidi w:val="0"/>
              <w:adjustRightInd w:val="0"/>
              <w:snapToGrid w:val="0"/>
              <w:spacing w:line="250" w:lineRule="exact"/>
              <w:ind w:firstLine="442" w:firstLineChars="200"/>
              <w:jc w:val="both"/>
              <w:textAlignment w:val="auto"/>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二、教学工作</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1.加强专业建设，推进工程教育专业人才培养模式改革。化学工程与工艺专业顺利通过工程教育认证。化学、精细化工两个新专业第二次招生，并继续申报2024年智能化工创新班招生计划。</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2.2023年获批校级创新创业学院教学研究项目1项，创新创业学院教材项目1项。获推荐省级教学团队1项，省级教坛新秀1人，省级教研项目2项，省级教学成果特等奖1项，省级线下一流课程2门，线上线下混合一流课程1门，省级虚拟仿真实验教学课程1门。</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3.学院成功举办校级大学生化学实验创新设计竞赛、化工设计大赛、化工实验大赛、第十九届基础化学实验技能大赛，并在省部级及以上大学生创新创业竞赛方面取得一系列成绩。</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（1）第九届中国国际“互联网+”大学生创新创业大赛：获省级金奖3项、银奖3项、铜奖1项。</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w:t>
            </w:r>
            <w:r>
              <w:rPr>
                <w:rFonts w:hint="eastAsia" w:ascii="宋体" w:hAnsi="宋体" w:eastAsia="宋体" w:cs="宋体"/>
                <w:sz w:val="22"/>
                <w:szCs w:val="22"/>
              </w:rPr>
              <w:t>“挑战杯”全国大学生课外学术科技作品竞赛：获省级三等奖1项。</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（3）第十七届全国大学生化工设计竞赛：获国家级一等奖1项，二等奖2项，三等奖4项。</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（4）第六届</w:t>
            </w:r>
            <w:r>
              <w:rPr>
                <w:rFonts w:hint="eastAsia" w:ascii="宋体" w:hAnsi="宋体" w:eastAsia="宋体" w:cs="宋体"/>
                <w:sz w:val="22"/>
                <w:szCs w:val="22"/>
              </w:rPr>
              <w:t>全国大学生化工实验大赛：获国家级一等奖1项，二等奖1项；赛区一等奖2项，二等奖2项。</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（5）“微瑞杯”第四届全国大学生化学实验创新设计大赛：获华中赛区二等奖4项，三等奖2项。</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（6）第六届全国“互联网+化学反应工程”课模设计大赛：获三等奖1项。</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（7）第三届安徽省大学生化学竞赛：获一等奖2项，二等奖3项，三等奖4项。</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（8）其他：</w:t>
            </w:r>
            <w:r>
              <w:rPr>
                <w:rFonts w:hint="eastAsia" w:ascii="宋体" w:hAnsi="宋体" w:eastAsia="宋体" w:cs="宋体"/>
                <w:sz w:val="22"/>
                <w:szCs w:val="22"/>
              </w:rPr>
              <w:t>大学生互联化工设计竞赛，全国一等奖1项；全国高分子材料创新创业大赛，赛区三等奖1项；</w:t>
            </w:r>
            <w:r>
              <w:rPr>
                <w:rFonts w:hint="eastAsia" w:ascii="宋体" w:hAnsi="宋体" w:eastAsia="宋体" w:cs="宋体"/>
                <w:color w:val="000000"/>
                <w:sz w:val="22"/>
                <w:szCs w:val="22"/>
              </w:rPr>
              <w:t>全国大学生化工安全设计大赛，三等奖1项；</w:t>
            </w:r>
            <w:r>
              <w:rPr>
                <w:rFonts w:hint="eastAsia" w:ascii="宋体" w:hAnsi="宋体" w:eastAsia="宋体" w:cs="宋体"/>
                <w:sz w:val="22"/>
                <w:szCs w:val="22"/>
              </w:rPr>
              <w:t>全国环境友好科技竞赛，赛区一等奖1项；空军首届航空创意挑战赛优秀奖，等</w:t>
            </w:r>
            <w:r>
              <w:rPr>
                <w:rFonts w:hint="eastAsia" w:ascii="宋体" w:hAnsi="宋体" w:eastAsia="宋体" w:cs="宋体"/>
                <w:color w:val="000000"/>
                <w:sz w:val="22"/>
                <w:szCs w:val="22"/>
              </w:rPr>
              <w:t>。</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6.参加校级青年教师教学基本功比赛，获二等奖1名、三等奖2名。推荐2名教师参加学校教学创新能力大赛。</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7.本年度发生</w:t>
            </w:r>
            <w:r>
              <w:rPr>
                <w:rFonts w:hint="eastAsia" w:ascii="宋体" w:hAnsi="宋体" w:eastAsia="宋体" w:cs="宋体"/>
                <w:color w:val="000000"/>
                <w:kern w:val="0"/>
                <w:sz w:val="22"/>
                <w:szCs w:val="22"/>
              </w:rPr>
              <w:t>教学事故1起</w:t>
            </w:r>
            <w:r>
              <w:rPr>
                <w:rFonts w:hint="eastAsia" w:ascii="宋体" w:hAnsi="宋体" w:eastAsia="宋体" w:cs="宋体"/>
                <w:color w:val="000000"/>
                <w:sz w:val="22"/>
                <w:szCs w:val="22"/>
              </w:rPr>
              <w:t>。</w:t>
            </w:r>
          </w:p>
          <w:p>
            <w:pPr>
              <w:keepNext w:val="0"/>
              <w:keepLines w:val="0"/>
              <w:pageBreakBefore w:val="0"/>
              <w:kinsoku/>
              <w:wordWrap/>
              <w:overflowPunct/>
              <w:topLinePunct w:val="0"/>
              <w:autoSpaceDE/>
              <w:autoSpaceDN/>
              <w:bidi w:val="0"/>
              <w:adjustRightInd w:val="0"/>
              <w:snapToGrid w:val="0"/>
              <w:spacing w:line="250" w:lineRule="exact"/>
              <w:ind w:firstLine="442" w:firstLineChars="200"/>
              <w:jc w:val="both"/>
              <w:textAlignment w:val="auto"/>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三、科研工作</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1.新增纵向科研项目27项，纵向到帐经费1516万元。新增横向科研项目74项，其中合同经费超100万项目5项，实际到帐经费1935万元。科研到账总经费为3451万元。</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2.以合肥工业大学为第一单位发表SCI论文173篇，其中中科院一区文章55篇，二区文章48篇。新增授权发明专利93项。专利成果转让3项，转让金额为20.95万元。</w:t>
            </w:r>
          </w:p>
          <w:p>
            <w:pPr>
              <w:keepNext w:val="0"/>
              <w:keepLines w:val="0"/>
              <w:pageBreakBefore w:val="0"/>
              <w:kinsoku/>
              <w:wordWrap/>
              <w:overflowPunct/>
              <w:topLinePunct w:val="0"/>
              <w:autoSpaceDE/>
              <w:autoSpaceDN/>
              <w:bidi w:val="0"/>
              <w:adjustRightInd w:val="0"/>
              <w:snapToGrid w:val="0"/>
              <w:spacing w:line="250" w:lineRule="exact"/>
              <w:ind w:firstLine="442" w:firstLineChars="200"/>
              <w:jc w:val="both"/>
              <w:textAlignment w:val="auto"/>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 xml:space="preserve">四、学科建设与研究生工作 </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1.申报并获批化学工程与技术博士后科研流动站。启动“化学”学术博士点申报，与材料科学与工程学院联合申报“材料与化工”工程博士点。启动并完成“化学”硕士学位授权点核验工作，并全票通过。</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2.加强学科平台建设，申报并获批安徽省“柔性智能材料创制与应用”工程研究中心。完成“先进催化材料与反应工程安徽省重点实验室”的重组工作并获评“优秀”。</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3.加强昇华沙龙学科阵地建设。主办第二届“昇华论坛”化学与化工系列研讨会，将学院研究生论坛融入昇华沙龙系列活动。全年举办昇华沙龙讲座50余场，其中海外院士、国家杰青等国家级人才报告20余场。</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4.获批与东华工程科技股份有限公司共建“安徽省研究生联合培养基地”。遴选行业导师30名，为建设优质实践基地做好充足准备。</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5.规范管理研究生培养全过程，规范开题、中期检查，实行“三统一”集中答辩。硕士研究生论文全部参加盲审，75分以上占83%。</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6.新增博导7名（兼职1名），硕导4名，目前在岗博导27名、硕导103名。</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w:t>
            </w:r>
            <w:r>
              <w:rPr>
                <w:rFonts w:hint="eastAsia" w:ascii="宋体" w:hAnsi="宋体" w:eastAsia="宋体" w:cs="宋体"/>
                <w:color w:val="000000"/>
                <w:sz w:val="22"/>
                <w:szCs w:val="22"/>
              </w:rPr>
              <w:t>获批安徽省新时代育人质量工程项目16项。</w:t>
            </w:r>
          </w:p>
          <w:p>
            <w:pPr>
              <w:keepNext w:val="0"/>
              <w:keepLines w:val="0"/>
              <w:pageBreakBefore w:val="0"/>
              <w:kinsoku/>
              <w:wordWrap/>
              <w:overflowPunct/>
              <w:topLinePunct w:val="0"/>
              <w:autoSpaceDE/>
              <w:autoSpaceDN/>
              <w:bidi w:val="0"/>
              <w:adjustRightInd w:val="0"/>
              <w:snapToGrid w:val="0"/>
              <w:spacing w:line="250" w:lineRule="exact"/>
              <w:ind w:firstLine="442" w:firstLineChars="200"/>
              <w:jc w:val="both"/>
              <w:textAlignment w:val="auto"/>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五、人才与师资工作</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1.本年度安徽省青年拔尖人才1人入选。国家基金优秀青年上会答辩1人。推荐申报安徽省优秀青年研究生导师、安徽省教学名师、安徽省研究生教学名师各1名。</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2.本年度引进黄山学者优秀青年1人，黄山学者学术骨干1人。</w:t>
            </w:r>
          </w:p>
          <w:p>
            <w:pPr>
              <w:keepNext w:val="0"/>
              <w:keepLines w:val="0"/>
              <w:pageBreakBefore w:val="0"/>
              <w:kinsoku/>
              <w:wordWrap/>
              <w:overflowPunct/>
              <w:topLinePunct w:val="0"/>
              <w:autoSpaceDE/>
              <w:autoSpaceDN/>
              <w:bidi w:val="0"/>
              <w:adjustRightInd w:val="0"/>
              <w:snapToGrid w:val="0"/>
              <w:spacing w:line="250" w:lineRule="exact"/>
              <w:ind w:firstLine="442" w:firstLineChars="200"/>
              <w:jc w:val="both"/>
              <w:textAlignment w:val="auto"/>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六、学生工作与共青团工作</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1.开展主题教育百余场，承办校“十佳大学生党员”评选并1人获评；获批党支部特色活动项目1项；获党校征文二等奖1篇，军训“综合评比先进单位”，开展</w:t>
            </w:r>
            <w:r>
              <w:rPr>
                <w:rFonts w:hint="eastAsia" w:ascii="宋体" w:hAnsi="宋体" w:eastAsia="宋体" w:cs="宋体"/>
                <w:sz w:val="22"/>
                <w:szCs w:val="22"/>
              </w:rPr>
              <w:t>“春风助航”学业辅导活动——“化才育英”学业辅导项目1项、学院学业发展中心项目1项；校“悦读书籍，采撷书香”读书小组12个均顺利结项，1个小组获“优秀读书小组”；校</w:t>
            </w:r>
            <w:r>
              <w:rPr>
                <w:rFonts w:hint="eastAsia" w:ascii="宋体" w:hAnsi="宋体" w:eastAsia="宋体" w:cs="宋体"/>
                <w:color w:val="000000"/>
                <w:sz w:val="22"/>
                <w:szCs w:val="22"/>
              </w:rPr>
              <w:t>宿舍楼层文化项目结项2项。</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2.完成心理育人特色项目2项、获批2项；获手语合唱比赛一等奖、</w:t>
            </w:r>
            <w:r>
              <w:rPr>
                <w:rFonts w:hint="eastAsia" w:ascii="宋体" w:hAnsi="宋体" w:eastAsia="宋体" w:cs="宋体"/>
                <w:sz w:val="22"/>
                <w:szCs w:val="22"/>
              </w:rPr>
              <w:t>心理知识竞赛三等奖、第十六届大学生校园心理情景剧大赛三等奖、第二届学生朋辈心理辅导技能大赛三等奖2项；获第六届“全国百佳心理委员提名奖”1人，获校班级心理委员标兵1人，校心理协会工作之星1人，校优秀班级心理委员2人</w:t>
            </w:r>
            <w:r>
              <w:rPr>
                <w:rFonts w:hint="eastAsia" w:ascii="宋体" w:hAnsi="宋体" w:eastAsia="宋体" w:cs="宋体"/>
                <w:color w:val="000000"/>
                <w:sz w:val="22"/>
                <w:szCs w:val="22"/>
              </w:rPr>
              <w:t>。成功干预严重心理危机事件5起。</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3.贫困生资助全覆盖，1人获校长奖，2人获十佳大学生；发展型资助项目结项1项；已发放院级奖助金</w:t>
            </w:r>
            <w:r>
              <w:rPr>
                <w:rFonts w:hint="eastAsia" w:ascii="宋体" w:hAnsi="宋体" w:eastAsia="宋体" w:cs="宋体"/>
                <w:sz w:val="22"/>
                <w:szCs w:val="22"/>
              </w:rPr>
              <w:t>55.25</w:t>
            </w:r>
            <w:r>
              <w:rPr>
                <w:rFonts w:hint="eastAsia" w:ascii="宋体" w:hAnsi="宋体" w:eastAsia="宋体" w:cs="宋体"/>
                <w:color w:val="000000"/>
                <w:sz w:val="22"/>
                <w:szCs w:val="22"/>
              </w:rPr>
              <w:t>万元。</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w:t>
            </w:r>
            <w:r>
              <w:rPr>
                <w:rFonts w:hint="eastAsia" w:ascii="宋体" w:hAnsi="宋体" w:eastAsia="宋体" w:cs="宋体"/>
                <w:sz w:val="22"/>
                <w:szCs w:val="22"/>
              </w:rPr>
              <w:t>获批团支部特色活动项目重点项目1项、一般项目3项；获</w:t>
            </w:r>
            <w:r>
              <w:rPr>
                <w:rFonts w:hint="eastAsia" w:ascii="宋体" w:hAnsi="宋体" w:eastAsia="宋体" w:cs="宋体"/>
                <w:color w:val="000000"/>
                <w:sz w:val="22"/>
                <w:szCs w:val="22"/>
              </w:rPr>
              <w:t>校“五四红旗”团支部1个、</w:t>
            </w:r>
            <w:r>
              <w:rPr>
                <w:rFonts w:hint="eastAsia" w:ascii="宋体" w:hAnsi="宋体" w:eastAsia="宋体" w:cs="宋体"/>
                <w:sz w:val="22"/>
                <w:szCs w:val="22"/>
              </w:rPr>
              <w:t>优秀青年标兵1人、</w:t>
            </w:r>
            <w:r>
              <w:rPr>
                <w:rFonts w:hint="eastAsia" w:ascii="宋体" w:hAnsi="宋体" w:eastAsia="宋体" w:cs="宋体"/>
                <w:color w:val="000000"/>
                <w:sz w:val="22"/>
                <w:szCs w:val="22"/>
              </w:rPr>
              <w:t>优秀团支部书记1人；获</w:t>
            </w:r>
            <w:r>
              <w:rPr>
                <w:rFonts w:hint="eastAsia" w:ascii="宋体" w:hAnsi="宋体" w:eastAsia="宋体" w:cs="宋体"/>
                <w:sz w:val="22"/>
                <w:szCs w:val="22"/>
              </w:rPr>
              <w:t>纪念“一二•九”运动88周年青年学生朗诵艺术节特等奖、校园篮球赛冠军、第三十八届男子手球联赛一等奖、第27届“新生杯”足球赛二等奖；获校运动会学生B组团体总分第二名、学生B组男子总分第二名；“三下乡”社会实践获批国家级、省级团队各1支，奖项19项。</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5.2023届毕业生就业率</w:t>
            </w:r>
            <w:r>
              <w:rPr>
                <w:rFonts w:hint="eastAsia" w:ascii="宋体" w:hAnsi="宋体" w:eastAsia="宋体" w:cs="宋体"/>
                <w:sz w:val="22"/>
                <w:szCs w:val="22"/>
              </w:rPr>
              <w:t>97.22</w:t>
            </w:r>
            <w:r>
              <w:rPr>
                <w:rFonts w:hint="eastAsia" w:ascii="宋体" w:hAnsi="宋体" w:eastAsia="宋体" w:cs="宋体"/>
                <w:color w:val="000000"/>
                <w:sz w:val="22"/>
                <w:szCs w:val="22"/>
              </w:rPr>
              <w:t>%，2024届已达41.18%，均高于往年。开展教育部就业育人项目3项，完成学校高质量就业项目111项，申报学校2023年就业育人项目1项。9人获校基层就业奖励。</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6.成功举办灯笼游园会，被中国青年报、新华网、学习强国等媒体报道，浏览量达100万+。</w:t>
            </w:r>
          </w:p>
          <w:p>
            <w:pPr>
              <w:keepNext w:val="0"/>
              <w:keepLines w:val="0"/>
              <w:pageBreakBefore w:val="0"/>
              <w:kinsoku/>
              <w:wordWrap/>
              <w:overflowPunct/>
              <w:topLinePunct w:val="0"/>
              <w:autoSpaceDE/>
              <w:autoSpaceDN/>
              <w:bidi w:val="0"/>
              <w:adjustRightInd w:val="0"/>
              <w:snapToGrid w:val="0"/>
              <w:spacing w:line="250" w:lineRule="exact"/>
              <w:ind w:firstLine="442" w:firstLineChars="200"/>
              <w:jc w:val="both"/>
              <w:textAlignment w:val="auto"/>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rPr>
              <w:t>七、国有资产管理与财</w:t>
            </w:r>
            <w:r>
              <w:rPr>
                <w:rFonts w:hint="eastAsia" w:ascii="宋体" w:hAnsi="宋体" w:eastAsia="宋体" w:cs="宋体"/>
                <w:b/>
                <w:bCs/>
                <w:color w:val="000000"/>
                <w:sz w:val="22"/>
                <w:szCs w:val="22"/>
              </w:rPr>
              <w:t>务</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1.严格执行财务管理制度，严格落实中央八项规定精神，无财务违规行为。</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2.加强资产信息化管理。累计办理共4批、156台件、总原值99万元资产的报废处置工作。新增固定资产共336台件，总值761万元。</w:t>
            </w:r>
          </w:p>
          <w:p>
            <w:pPr>
              <w:keepNext w:val="0"/>
              <w:keepLines w:val="0"/>
              <w:pageBreakBefore w:val="0"/>
              <w:kinsoku/>
              <w:wordWrap/>
              <w:overflowPunct/>
              <w:topLinePunct w:val="0"/>
              <w:autoSpaceDE/>
              <w:autoSpaceDN/>
              <w:bidi w:val="0"/>
              <w:adjustRightInd w:val="0"/>
              <w:snapToGrid w:val="0"/>
              <w:spacing w:line="250" w:lineRule="exact"/>
              <w:ind w:firstLine="442" w:firstLineChars="200"/>
              <w:jc w:val="both"/>
              <w:textAlignment w:val="auto"/>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八、教育对外开放</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2023年学院在读外籍本科生1人、硕士生1人，在岗外籍博士后1人。教师出国访学1人。无违反外事纪律问题。</w:t>
            </w:r>
          </w:p>
          <w:p>
            <w:pPr>
              <w:keepNext w:val="0"/>
              <w:keepLines w:val="0"/>
              <w:pageBreakBefore w:val="0"/>
              <w:kinsoku/>
              <w:wordWrap/>
              <w:overflowPunct/>
              <w:topLinePunct w:val="0"/>
              <w:autoSpaceDE/>
              <w:autoSpaceDN/>
              <w:bidi w:val="0"/>
              <w:adjustRightInd w:val="0"/>
              <w:snapToGrid w:val="0"/>
              <w:spacing w:line="250" w:lineRule="exact"/>
              <w:ind w:firstLine="442" w:firstLineChars="200"/>
              <w:jc w:val="both"/>
              <w:textAlignment w:val="auto"/>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九、学院运行</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1.完善制度建设，实行党务、院务公开，确保政令畅通。</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2.加强安全教育和管理，多措并举落实安全责任制、涉密责任制，实验室安全状况得到较大改善。</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3.及时上传、下达各类信息，按时保质保量完成学校各项任务。积极协调完成升华楼维修改造，顺利完成理化楼搬迁工作。</w:t>
            </w:r>
          </w:p>
          <w:p>
            <w:pPr>
              <w:keepNext w:val="0"/>
              <w:keepLines w:val="0"/>
              <w:pageBreakBefore w:val="0"/>
              <w:kinsoku/>
              <w:wordWrap/>
              <w:overflowPunct/>
              <w:topLinePunct w:val="0"/>
              <w:autoSpaceDE/>
              <w:autoSpaceDN/>
              <w:bidi w:val="0"/>
              <w:adjustRightInd w:val="0"/>
              <w:snapToGrid w:val="0"/>
              <w:spacing w:line="250" w:lineRule="exact"/>
              <w:ind w:firstLine="440" w:firstLineChars="200"/>
              <w:jc w:val="both"/>
              <w:textAlignment w:val="auto"/>
              <w:rPr>
                <w:rFonts w:ascii="宋体" w:hAnsi="宋体" w:eastAsia="宋体" w:cs="宋体"/>
                <w:color w:val="000000"/>
                <w:kern w:val="0"/>
                <w:sz w:val="21"/>
                <w:szCs w:val="21"/>
              </w:rPr>
            </w:pPr>
            <w:r>
              <w:rPr>
                <w:rFonts w:hint="eastAsia" w:ascii="宋体" w:hAnsi="宋体" w:eastAsia="宋体" w:cs="宋体"/>
                <w:color w:val="000000"/>
                <w:sz w:val="22"/>
                <w:szCs w:val="22"/>
              </w:rPr>
              <w:t>4.全年无重大泄密事件、安全责任事故发生。</w:t>
            </w:r>
          </w:p>
        </w:tc>
      </w:tr>
    </w:tbl>
    <w:p>
      <w:pPr>
        <w:rPr>
          <w:sz w:val="10"/>
          <w:szCs w:val="10"/>
        </w:rPr>
      </w:pPr>
    </w:p>
    <w:p>
      <w:pPr>
        <w:pStyle w:val="4"/>
        <w:spacing w:line="579" w:lineRule="auto"/>
        <w:rPr>
          <w:shd w:val="clear" w:color="auto" w:fill="FFFFFF"/>
        </w:rPr>
      </w:pPr>
      <w:bookmarkStart w:id="14" w:name="_Toc24488"/>
      <w:r>
        <w:rPr>
          <w:rFonts w:hint="eastAsia"/>
          <w:shd w:val="clear" w:color="auto" w:fill="FFFFFF"/>
          <w:lang w:eastAsia="zh-CN"/>
        </w:rPr>
        <w:t>马克思主义</w:t>
      </w:r>
      <w:r>
        <w:rPr>
          <w:rFonts w:hint="eastAsia"/>
          <w:shd w:val="clear" w:color="auto" w:fill="FFFFFF"/>
        </w:rPr>
        <w:t>学院2023年度业绩简表</w:t>
      </w:r>
      <w:bookmarkEnd w:id="14"/>
    </w:p>
    <w:tbl>
      <w:tblPr>
        <w:tblStyle w:val="13"/>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805" w:type="dxa"/>
            <w:vAlign w:val="center"/>
          </w:tcPr>
          <w:p>
            <w:pPr>
              <w:jc w:val="center"/>
              <w:rPr>
                <w:rFonts w:ascii="仿宋" w:hAnsi="仿宋" w:eastAsia="仿宋"/>
                <w:b/>
                <w:sz w:val="24"/>
                <w:szCs w:val="24"/>
              </w:rPr>
            </w:pPr>
            <w:r>
              <w:rPr>
                <w:rFonts w:hint="eastAsia" w:ascii="仿宋" w:hAnsi="仿宋" w:eastAsia="仿宋"/>
                <w:b/>
                <w:sz w:val="24"/>
                <w:szCs w:val="24"/>
              </w:rPr>
              <w:t>单位名称</w:t>
            </w:r>
          </w:p>
        </w:tc>
        <w:tc>
          <w:tcPr>
            <w:tcW w:w="2976" w:type="dxa"/>
            <w:vAlign w:val="center"/>
          </w:tcPr>
          <w:p>
            <w:pPr>
              <w:jc w:val="center"/>
              <w:rPr>
                <w:rFonts w:ascii="仿宋" w:hAnsi="仿宋" w:eastAsia="仿宋"/>
                <w:b/>
                <w:sz w:val="24"/>
                <w:szCs w:val="24"/>
              </w:rPr>
            </w:pPr>
            <w:r>
              <w:rPr>
                <w:rFonts w:hint="eastAsia" w:ascii="仿宋" w:hAnsi="仿宋" w:eastAsia="仿宋"/>
                <w:b/>
                <w:sz w:val="24"/>
                <w:szCs w:val="24"/>
              </w:rPr>
              <w:t>马克思主义学院</w:t>
            </w:r>
          </w:p>
        </w:tc>
        <w:tc>
          <w:tcPr>
            <w:tcW w:w="1747" w:type="dxa"/>
            <w:vAlign w:val="center"/>
          </w:tcPr>
          <w:p>
            <w:pPr>
              <w:jc w:val="center"/>
              <w:rPr>
                <w:rFonts w:ascii="仿宋" w:hAnsi="仿宋" w:eastAsia="仿宋"/>
                <w:b/>
                <w:sz w:val="24"/>
                <w:szCs w:val="24"/>
              </w:rPr>
            </w:pPr>
            <w:r>
              <w:rPr>
                <w:rFonts w:hint="eastAsia" w:ascii="仿宋" w:hAnsi="仿宋" w:eastAsia="仿宋"/>
                <w:b/>
                <w:sz w:val="24"/>
                <w:szCs w:val="24"/>
              </w:rPr>
              <w:t>单位职工数</w:t>
            </w:r>
          </w:p>
        </w:tc>
        <w:tc>
          <w:tcPr>
            <w:tcW w:w="2131" w:type="dxa"/>
            <w:vAlign w:val="center"/>
          </w:tcPr>
          <w:p>
            <w:pPr>
              <w:jc w:val="center"/>
              <w:rPr>
                <w:rFonts w:ascii="仿宋" w:hAnsi="仿宋" w:eastAsia="仿宋"/>
                <w:b/>
                <w:sz w:val="24"/>
                <w:szCs w:val="24"/>
              </w:rPr>
            </w:pPr>
            <w:r>
              <w:rPr>
                <w:rFonts w:hint="eastAsia" w:ascii="仿宋" w:hAnsi="仿宋" w:eastAsia="仿宋"/>
                <w:b/>
                <w:sz w:val="24"/>
                <w:szCs w:val="24"/>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659" w:type="dxa"/>
            <w:gridSpan w:val="4"/>
            <w:vAlign w:val="center"/>
          </w:tcPr>
          <w:p>
            <w:pPr>
              <w:keepNext w:val="0"/>
              <w:keepLines w:val="0"/>
              <w:pageBreakBefore w:val="0"/>
              <w:kinsoku/>
              <w:wordWrap/>
              <w:overflowPunct/>
              <w:topLinePunct w:val="0"/>
              <w:autoSpaceDE/>
              <w:autoSpaceDN/>
              <w:bidi w:val="0"/>
              <w:adjustRightInd/>
              <w:snapToGrid/>
              <w:spacing w:line="30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一、党建和思想政治工作扎实推进</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1.贯彻落实主题教育</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 xml:space="preserve">举办“党的二十大精神融入思想政治理论课”专题研讨会，参加学校“学习宣传贯彻党的二十大精神”主题征文比赛，获各级奖项共27个。 </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2.法纪教育与师德教育齐抓，组织教职工参加师德教育100余人次。</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3.扎实推进党建“双创”工作</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个教师支部获批省“样板支部”。1个学生支部获批省“研究生样板党支部”，1个学生获评省“研究生党员标兵”，并参评全国“百名研究生党员标兵”。获批1个五星级党支部和3个三星级党支部。党支部特色活动获校级立项3项，其中重点项目1项。发展学生党员65人。</w:t>
            </w:r>
          </w:p>
          <w:p>
            <w:pPr>
              <w:keepNext w:val="0"/>
              <w:keepLines w:val="0"/>
              <w:pageBreakBefore w:val="0"/>
              <w:kinsoku/>
              <w:wordWrap/>
              <w:overflowPunct/>
              <w:topLinePunct w:val="0"/>
              <w:autoSpaceDE/>
              <w:autoSpaceDN/>
              <w:bidi w:val="0"/>
              <w:adjustRightInd/>
              <w:snapToGrid/>
              <w:spacing w:line="30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二、持续平稳推进教学工作</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1.本科招生宣传工作成效显著</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合肥校区2023年在内蒙古的录取最低分排名跃升4000名。</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2.持续推进思想政治教育一流本科专业建设，办好少数民族预科班</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学生获各类创新类竞赛奖40余项，国家级4项，本科生获奖率为30%。</w:t>
            </w:r>
            <w:r>
              <w:rPr>
                <w:rFonts w:hint="eastAsia" w:asciiTheme="minorEastAsia" w:hAnsiTheme="minorEastAsia" w:eastAsiaTheme="minorEastAsia" w:cstheme="minorEastAsia"/>
                <w:bCs/>
                <w:sz w:val="24"/>
                <w:szCs w:val="24"/>
              </w:rPr>
              <w:t>招收少数民族预科班学生116人。</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3.善用“大思政课”铸魂育人</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开展“英模大师进课堂”“企业家进课堂”活动等专题教学5场。</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承担各级各类教研项目50余项。承担“习概”课全国通用课件和讲义创作。</w:t>
            </w:r>
          </w:p>
          <w:p>
            <w:pPr>
              <w:keepNext w:val="0"/>
              <w:keepLines w:val="0"/>
              <w:pageBreakBefore w:val="0"/>
              <w:kinsoku/>
              <w:wordWrap/>
              <w:overflowPunct/>
              <w:topLinePunct w:val="0"/>
              <w:autoSpaceDE/>
              <w:autoSpaceDN/>
              <w:bidi w:val="0"/>
              <w:adjustRightInd/>
              <w:snapToGrid/>
              <w:spacing w:line="30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三、持续提升学科和科研平台，成果颇丰</w:t>
            </w:r>
          </w:p>
          <w:p>
            <w:pPr>
              <w:pStyle w:val="7"/>
              <w:keepNext w:val="0"/>
              <w:keepLines w:val="0"/>
              <w:pageBreakBefore w:val="0"/>
              <w:kinsoku/>
              <w:wordWrap/>
              <w:overflowPunct/>
              <w:topLinePunct w:val="0"/>
              <w:autoSpaceDE/>
              <w:autoSpaceDN/>
              <w:bidi w:val="0"/>
              <w:adjustRightInd/>
              <w:snapToGrid/>
              <w:spacing w:line="300" w:lineRule="exact"/>
              <w:ind w:lef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1.积极申报“马克思主义理论”博士后流动站，并成功获批；马克思主义理论博士一级学位授权点核验顺利通过，教育部“大思政课”实践教学基地成功结对共建。</w:t>
            </w:r>
          </w:p>
          <w:p>
            <w:pPr>
              <w:keepNext w:val="0"/>
              <w:keepLines w:val="0"/>
              <w:pageBreakBefore w:val="0"/>
              <w:kinsoku/>
              <w:wordWrap/>
              <w:overflowPunct/>
              <w:topLinePunct w:val="0"/>
              <w:autoSpaceDE/>
              <w:autoSpaceDN/>
              <w:bidi w:val="0"/>
              <w:adjustRightInd/>
              <w:snapToGrid/>
              <w:spacing w:line="300" w:lineRule="exact"/>
              <w:ind w:right="-204" w:rightChars="-73"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2.</w:t>
            </w:r>
            <w:r>
              <w:rPr>
                <w:rFonts w:hint="eastAsia" w:asciiTheme="minorEastAsia" w:hAnsiTheme="minorEastAsia" w:eastAsiaTheme="minorEastAsia" w:cstheme="minorEastAsia"/>
                <w:sz w:val="24"/>
                <w:szCs w:val="24"/>
              </w:rPr>
              <w:t>获批国家社科基金项目2项，教育部人文社科项目3项。</w:t>
            </w:r>
          </w:p>
          <w:p>
            <w:pPr>
              <w:keepNext w:val="0"/>
              <w:keepLines w:val="0"/>
              <w:pageBreakBefore w:val="0"/>
              <w:kinsoku/>
              <w:wordWrap/>
              <w:overflowPunct/>
              <w:topLinePunct w:val="0"/>
              <w:autoSpaceDE/>
              <w:autoSpaceDN/>
              <w:bidi w:val="0"/>
              <w:adjustRightInd/>
              <w:snapToGrid/>
              <w:spacing w:line="300" w:lineRule="exact"/>
              <w:ind w:right="-204" w:rightChars="-73"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Cs/>
                <w:sz w:val="24"/>
                <w:szCs w:val="24"/>
              </w:rPr>
              <w:t>3.</w:t>
            </w:r>
            <w:r>
              <w:rPr>
                <w:rFonts w:hint="eastAsia" w:asciiTheme="minorEastAsia" w:hAnsiTheme="minorEastAsia" w:eastAsiaTheme="minorEastAsia" w:cstheme="minorEastAsia"/>
                <w:kern w:val="0"/>
                <w:sz w:val="24"/>
                <w:szCs w:val="24"/>
              </w:rPr>
              <w:t>在《马克思主义研究》等学术期刊上发表学术论文90余篇。</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4.</w:t>
            </w:r>
            <w:r>
              <w:rPr>
                <w:rFonts w:hint="eastAsia" w:asciiTheme="minorEastAsia" w:hAnsiTheme="minorEastAsia" w:eastAsiaTheme="minorEastAsia" w:cstheme="minorEastAsia"/>
                <w:sz w:val="24"/>
                <w:szCs w:val="24"/>
              </w:rPr>
              <w:t>理论宣传报告50余场次，在</w:t>
            </w:r>
            <w:r>
              <w:rPr>
                <w:rFonts w:hint="eastAsia" w:asciiTheme="minorEastAsia" w:hAnsiTheme="minorEastAsia" w:eastAsiaTheme="minorEastAsia" w:cstheme="minorEastAsia"/>
                <w:kern w:val="0"/>
                <w:sz w:val="24"/>
                <w:szCs w:val="24"/>
              </w:rPr>
              <w:t>《光明日报》</w:t>
            </w:r>
            <w:r>
              <w:rPr>
                <w:rFonts w:hint="eastAsia" w:asciiTheme="minorEastAsia" w:hAnsiTheme="minorEastAsia" w:eastAsiaTheme="minorEastAsia" w:cstheme="minorEastAsia"/>
                <w:sz w:val="24"/>
                <w:szCs w:val="24"/>
              </w:rPr>
              <w:t>等主流媒体发文多篇，2篇咨政报告分别被中宣部和教育部采纳。</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5.成功举办“马克思主义理论学科与“大思政课’建设等学术研讨会3场。</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6.对外学术交流“斛兵讲堂”品牌讲座有序进行，邀请校外专家进行学术交流、主题报告 10 余场。</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7.教师参加国际国内学术会议 30 余次。</w:t>
            </w:r>
          </w:p>
          <w:p>
            <w:pPr>
              <w:keepNext w:val="0"/>
              <w:keepLines w:val="0"/>
              <w:pageBreakBefore w:val="0"/>
              <w:kinsoku/>
              <w:wordWrap/>
              <w:overflowPunct/>
              <w:topLinePunct w:val="0"/>
              <w:autoSpaceDE/>
              <w:autoSpaceDN/>
              <w:bidi w:val="0"/>
              <w:adjustRightInd/>
              <w:snapToGrid/>
              <w:spacing w:line="30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四、持续有序推进研究生工作</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1.研究生生源质量不断提高</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2023年春季，录取统考硕士生63名，推免录取4名；录取博士研究生13人。在秋季推免录取7名推免生。</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2.研究生培养质量不断提高</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研究生在省级学术竞赛中获省级奖项20项；在公开发表的100余篇论文中，有16篇发表在《毛泽东邓小平理论研究》等高水平刊物上。本年度，完成了53名研究生毕业答辩工作，2位博士生顺利毕业。</w:t>
            </w:r>
          </w:p>
          <w:p>
            <w:pPr>
              <w:keepNext w:val="0"/>
              <w:keepLines w:val="0"/>
              <w:pageBreakBefore w:val="0"/>
              <w:widowControl/>
              <w:kinsoku/>
              <w:wordWrap/>
              <w:overflowPunct/>
              <w:topLinePunct w:val="0"/>
              <w:autoSpaceDE/>
              <w:autoSpaceDN/>
              <w:bidi w:val="0"/>
              <w:adjustRightInd/>
              <w:snapToGrid/>
              <w:spacing w:line="30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3.加强导师队伍建设，研究生教学改革持续优化，新增5名专职硕导和1名专职博导。</w:t>
            </w:r>
          </w:p>
          <w:p>
            <w:pPr>
              <w:keepNext w:val="0"/>
              <w:keepLines w:val="0"/>
              <w:pageBreakBefore w:val="0"/>
              <w:kinsoku/>
              <w:wordWrap/>
              <w:overflowPunct/>
              <w:topLinePunct w:val="0"/>
              <w:autoSpaceDE/>
              <w:autoSpaceDN/>
              <w:bidi w:val="0"/>
              <w:adjustRightInd/>
              <w:snapToGrid/>
              <w:spacing w:line="30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五、优化引育人才与师资的质量</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1.高层次人才建设取得新突破，余京华入选安徽省青年拔尖人才项目；新入职黄山学者学术骨干1人，青年教师9人；续聘兼职思政课教师10人</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20余人次参加中央六部委哲学社会科学骨干等培训；全员参加教育部2023版思政理论课教材使用专题培训；获全国高校教师教学创新大赛和安徽省高校教师教学创新大赛等4项，1名教师被推荐参加全国高校思想政治理论课教学展示活动比赛。</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3.考核评价机制不断完善。对标《普通高等学校马克思主义学院建设标准》（2023年版），制定了《马克思主义学院人才引进的程序和规则的方案》、修改了《马克思主义学院教学科研突出业绩奖励评分细则》</w:t>
            </w:r>
          </w:p>
          <w:p>
            <w:pPr>
              <w:keepNext w:val="0"/>
              <w:keepLines w:val="0"/>
              <w:pageBreakBefore w:val="0"/>
              <w:kinsoku/>
              <w:wordWrap/>
              <w:overflowPunct/>
              <w:topLinePunct w:val="0"/>
              <w:autoSpaceDE/>
              <w:autoSpaceDN/>
              <w:bidi w:val="0"/>
              <w:adjustRightInd/>
              <w:snapToGrid/>
              <w:spacing w:line="30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六、学生工作顺利开展，成果颇优</w:t>
            </w:r>
          </w:p>
          <w:p>
            <w:pPr>
              <w:keepNext w:val="0"/>
              <w:keepLines w:val="0"/>
              <w:pageBreakBefore w:val="0"/>
              <w:kinsoku/>
              <w:wordWrap/>
              <w:overflowPunct/>
              <w:topLinePunct w:val="0"/>
              <w:autoSpaceDE/>
              <w:autoSpaceDN/>
              <w:bidi w:val="0"/>
              <w:adjustRightInd/>
              <w:snapToGrid/>
              <w:spacing w:line="30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1.强化学生思想引领</w:t>
            </w:r>
          </w:p>
          <w:p>
            <w:pPr>
              <w:keepNext w:val="0"/>
              <w:keepLines w:val="0"/>
              <w:pageBreakBefore w:val="0"/>
              <w:kinsoku/>
              <w:wordWrap/>
              <w:overflowPunct/>
              <w:topLinePunct w:val="0"/>
              <w:autoSpaceDE/>
              <w:autoSpaceDN/>
              <w:bidi w:val="0"/>
              <w:adjustRightInd/>
              <w:snapToGrid/>
              <w:spacing w:line="300" w:lineRule="exact"/>
              <w:ind w:firstLine="480" w:firstLineChars="20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开展习近平新时代中国特色社会主义思想领航计划主题教育活动13次。获评“校长奖”等奖项5人。对各民族学生开展爱国主义等教育8次，原创民族团结文化作品获学校主题展演一等奖2项。</w:t>
            </w:r>
          </w:p>
          <w:p>
            <w:pPr>
              <w:keepNext w:val="0"/>
              <w:keepLines w:val="0"/>
              <w:pageBreakBefore w:val="0"/>
              <w:kinsoku/>
              <w:wordWrap/>
              <w:overflowPunct/>
              <w:topLinePunct w:val="0"/>
              <w:autoSpaceDE/>
              <w:autoSpaceDN/>
              <w:bidi w:val="0"/>
              <w:adjustRightInd/>
              <w:snapToGrid/>
              <w:spacing w:line="30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2.做好学生管理服务和心理健康教育，夯实安全稳定基础</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3.从严治党治团，提升学生党建和团建工作水平</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获评“五四红旗团委”等3项。院分党校举办2期共6个培训班，培训预备党员42人、发展对象60人、积极分子95人。</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4.多渠道资助服务育人，助力学生成长成才</w:t>
            </w:r>
          </w:p>
          <w:p>
            <w:pPr>
              <w:keepNext w:val="0"/>
              <w:keepLines w:val="0"/>
              <w:pageBreakBefore w:val="0"/>
              <w:kinsoku/>
              <w:wordWrap/>
              <w:overflowPunct/>
              <w:topLinePunct w:val="0"/>
              <w:autoSpaceDE/>
              <w:autoSpaceDN/>
              <w:bidi w:val="0"/>
              <w:adjustRightInd/>
              <w:snapToGrid/>
              <w:spacing w:line="300" w:lineRule="exact"/>
              <w:ind w:firstLine="480" w:firstLineChars="20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家庭经济困难学生入库率33.6%，评定国家奖、助学金94人，其他奖、助学金9人；发放临时困难补助60余人次。</w:t>
            </w:r>
          </w:p>
          <w:p>
            <w:pPr>
              <w:keepNext w:val="0"/>
              <w:keepLines w:val="0"/>
              <w:pageBreakBefore w:val="0"/>
              <w:kinsoku/>
              <w:wordWrap/>
              <w:overflowPunct/>
              <w:topLinePunct w:val="0"/>
              <w:autoSpaceDE/>
              <w:autoSpaceDN/>
              <w:bidi w:val="0"/>
              <w:adjustRightInd/>
              <w:snapToGrid/>
              <w:spacing w:line="30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5.夯实团学工作基础，着力学生创新实践能力培养</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在“挑战杯”校内选拔赛和安徽省大学生学习马理论成果大赛中获特等奖、一等奖等18项。组建19支团队开展暑期社会实践，在学校实践成果评比中获一、二、三等奖共18项，优秀实践团队2支、先进个人5人、优秀指导教师1人。</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6.</w:t>
            </w:r>
            <w:r>
              <w:rPr>
                <w:rFonts w:hint="eastAsia" w:asciiTheme="minorEastAsia" w:hAnsiTheme="minorEastAsia" w:eastAsiaTheme="minorEastAsia" w:cstheme="minorEastAsia"/>
                <w:sz w:val="24"/>
                <w:szCs w:val="24"/>
              </w:rPr>
              <w:t>扎实做好毕业生就业工作</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kern w:val="0"/>
                <w:sz w:val="24"/>
                <w:szCs w:val="24"/>
              </w:rPr>
              <w:t>2023届本科毕业生就业率为92.68%，研究生就业率93.83%。</w:t>
            </w:r>
          </w:p>
          <w:p>
            <w:pPr>
              <w:keepNext w:val="0"/>
              <w:keepLines w:val="0"/>
              <w:pageBreakBefore w:val="0"/>
              <w:kinsoku/>
              <w:wordWrap/>
              <w:overflowPunct/>
              <w:topLinePunct w:val="0"/>
              <w:autoSpaceDE/>
              <w:autoSpaceDN/>
              <w:bidi w:val="0"/>
              <w:adjustRightInd/>
              <w:snapToGrid/>
              <w:spacing w:line="300" w:lineRule="exact"/>
              <w:ind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七、做好国际化的阐释与宣传</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我院主要在讲好中国故事、传扬中国优秀文化上做文章，鼓励、支持师生利用国际会议等平台阐述中国特色社会主义理论与实践成就和中国优秀传统文化。</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学院没有违反外事纪律的情况。</w:t>
            </w:r>
          </w:p>
          <w:p>
            <w:pPr>
              <w:keepNext w:val="0"/>
              <w:keepLines w:val="0"/>
              <w:pageBreakBefore w:val="0"/>
              <w:kinsoku/>
              <w:wordWrap/>
              <w:overflowPunct/>
              <w:topLinePunct w:val="0"/>
              <w:autoSpaceDE/>
              <w:autoSpaceDN/>
              <w:bidi w:val="0"/>
              <w:adjustRightInd/>
              <w:snapToGrid/>
              <w:spacing w:line="30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八、学院运行平稳有序</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1.改进和完善学院日常管理与服务工作。</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2.严格按照公文运转规定和程序，做好文件的保密、传阅、落实、归档等工作，按时完成学校交办的各项任务。</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3.严格按照国家和学校有关财务制度的要求，制定和执行财务预算，明确各项经费的开支范围，提高经费的使用效益。</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4.合理分配和管理办公用房，提高办公用房使用效率。</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ascii="仿宋" w:hAnsi="仿宋" w:eastAsia="仿宋"/>
              </w:rPr>
            </w:pPr>
            <w:r>
              <w:rPr>
                <w:rFonts w:hint="eastAsia" w:asciiTheme="minorEastAsia" w:hAnsiTheme="minorEastAsia" w:eastAsiaTheme="minorEastAsia" w:cstheme="minorEastAsia"/>
                <w:sz w:val="24"/>
                <w:szCs w:val="24"/>
              </w:rPr>
              <w:t>5.在教职工中宣传办公室、实验室、资料室防火、防盗、安全用电知识，在学生中加强安全教育，增强安全防范意识，杜绝安全隐患，有效地防止各类突发事件和安全事故的发生。全年未发生重大泄密事件、火灾和安全责任事故，没有违反学校综合治理规定及紧急重要信息迟报、漏报、瞒报等情况。</w:t>
            </w:r>
          </w:p>
        </w:tc>
      </w:tr>
    </w:tbl>
    <w:p>
      <w:r>
        <w:br w:type="page"/>
      </w:r>
    </w:p>
    <w:p>
      <w:pPr>
        <w:pStyle w:val="4"/>
        <w:spacing w:line="240" w:lineRule="auto"/>
        <w:rPr>
          <w:rFonts w:asciiTheme="majorEastAsia" w:hAnsiTheme="majorEastAsia" w:cstheme="majorEastAsia"/>
          <w:sz w:val="30"/>
          <w:szCs w:val="30"/>
          <w:shd w:val="clear" w:color="auto" w:fill="FFFFFF"/>
        </w:rPr>
      </w:pPr>
      <w:bookmarkStart w:id="15" w:name="_Toc22704"/>
      <w:r>
        <w:rPr>
          <w:rFonts w:hint="eastAsia" w:asciiTheme="majorEastAsia" w:hAnsiTheme="majorEastAsia" w:cstheme="majorEastAsia"/>
          <w:sz w:val="30"/>
          <w:szCs w:val="30"/>
          <w:shd w:val="clear" w:color="auto" w:fill="FFFFFF"/>
        </w:rPr>
        <w:t>经济学院2023年度业绩简表</w:t>
      </w:r>
      <w:bookmarkEnd w:id="15"/>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sz w:val="24"/>
                <w:szCs w:val="21"/>
              </w:rPr>
            </w:pPr>
            <w:r>
              <w:rPr>
                <w:rFonts w:hint="eastAsia" w:ascii="仿宋" w:hAnsi="仿宋" w:eastAsia="仿宋"/>
                <w:b/>
                <w:sz w:val="24"/>
                <w:szCs w:val="21"/>
              </w:rPr>
              <w:t>单位名称</w:t>
            </w:r>
          </w:p>
        </w:tc>
        <w:tc>
          <w:tcPr>
            <w:tcW w:w="2976" w:type="dxa"/>
            <w:vAlign w:val="center"/>
          </w:tcPr>
          <w:p>
            <w:pPr>
              <w:jc w:val="center"/>
              <w:rPr>
                <w:rFonts w:ascii="仿宋" w:hAnsi="仿宋" w:eastAsia="仿宋"/>
                <w:b/>
                <w:sz w:val="24"/>
                <w:szCs w:val="21"/>
              </w:rPr>
            </w:pPr>
            <w:r>
              <w:rPr>
                <w:rFonts w:hint="eastAsia" w:ascii="仿宋" w:hAnsi="仿宋" w:eastAsia="仿宋"/>
                <w:b/>
                <w:sz w:val="24"/>
                <w:szCs w:val="21"/>
              </w:rPr>
              <w:t>经济学院</w:t>
            </w:r>
          </w:p>
        </w:tc>
        <w:tc>
          <w:tcPr>
            <w:tcW w:w="1747" w:type="dxa"/>
            <w:vAlign w:val="center"/>
          </w:tcPr>
          <w:p>
            <w:pPr>
              <w:jc w:val="center"/>
              <w:rPr>
                <w:rFonts w:ascii="仿宋" w:hAnsi="仿宋" w:eastAsia="仿宋"/>
                <w:b/>
                <w:sz w:val="24"/>
                <w:szCs w:val="21"/>
              </w:rPr>
            </w:pPr>
            <w:r>
              <w:rPr>
                <w:rFonts w:hint="eastAsia" w:ascii="仿宋" w:hAnsi="仿宋" w:eastAsia="仿宋"/>
                <w:b/>
                <w:sz w:val="24"/>
                <w:szCs w:val="21"/>
              </w:rPr>
              <w:t>单位职工数</w:t>
            </w:r>
          </w:p>
        </w:tc>
        <w:tc>
          <w:tcPr>
            <w:tcW w:w="2131" w:type="dxa"/>
            <w:vAlign w:val="center"/>
          </w:tcPr>
          <w:p>
            <w:pPr>
              <w:jc w:val="center"/>
              <w:rPr>
                <w:rFonts w:ascii="仿宋" w:hAnsi="仿宋" w:eastAsia="仿宋"/>
                <w:b/>
                <w:sz w:val="24"/>
                <w:szCs w:val="21"/>
              </w:rPr>
            </w:pPr>
            <w:r>
              <w:rPr>
                <w:rFonts w:hint="eastAsia" w:ascii="仿宋" w:hAnsi="仿宋" w:eastAsia="仿宋"/>
                <w:b/>
                <w:sz w:val="24"/>
                <w:szCs w:val="21"/>
              </w:rPr>
              <w:t>1</w:t>
            </w:r>
            <w:r>
              <w:rPr>
                <w:rFonts w:ascii="仿宋" w:hAnsi="仿宋" w:eastAsia="仿宋"/>
                <w:b/>
                <w:sz w:val="24"/>
                <w:szCs w:val="21"/>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keepNext w:val="0"/>
              <w:keepLines w:val="0"/>
              <w:pageBreakBefore w:val="0"/>
              <w:widowControl w:val="0"/>
              <w:kinsoku/>
              <w:wordWrap/>
              <w:overflowPunct/>
              <w:topLinePunct w:val="0"/>
              <w:autoSpaceDE/>
              <w:bidi w:val="0"/>
              <w:adjustRightInd/>
              <w:snapToGrid/>
              <w:spacing w:line="34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一、党建与思想政治等相关工作</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高质量开展主题教育，4人在学校“学习宣传贯彻党的二十大精神”主题征文比赛中获奖。</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个党支部获批校级“双带头人”教师党支部书记工作室立项，党支部特色活动重点项目结项成果获评优秀，新获批党支部特色活动重点项目1项，一般项目1项，获党校第67期、68期优秀班主任2人；研究生党员韩丽娜获全国大学生志愿服务西部计划“优秀志愿者”。</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强化党风廉政建设，学院创作的视频《楼长的名义》入选第八届全国高校廉洁教育系列活动“润心话语”视频征集优秀作品，2人在“廉心文语”主题征文活动中获奖。</w:t>
            </w:r>
          </w:p>
          <w:p>
            <w:pPr>
              <w:keepNext w:val="0"/>
              <w:keepLines w:val="0"/>
              <w:pageBreakBefore w:val="0"/>
              <w:widowControl w:val="0"/>
              <w:kinsoku/>
              <w:wordWrap/>
              <w:overflowPunct/>
              <w:topLinePunct w:val="0"/>
              <w:autoSpaceDE/>
              <w:bidi w:val="0"/>
              <w:adjustRightInd/>
              <w:snapToGrid/>
              <w:spacing w:line="34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二、教学工作</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实施强师计划，举办新文科建设教师工作坊，组织70多位教师参加《数字经济与数字贸易》、《大数据与人文社会科学》等专项能力升培训和教学竞赛项目，1人获第五届全国高校混合式教学设计创新大赛二等奖，2人获全国首届“和鲸杯”青年教师数据科学与商业分析案例教竞赛总决赛二等奖，1人获安徽省第六届高校青年教师教学竞赛文科组第一名。</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推动基层教学组织建设，以督导组、课程组和虚拟教研室建设为抓手，持续做好课程思政工作、“三进”工作等，在电子工业出版社出版新形态教材3部，获批中国高等教学学会“2023年度高等教育科学研究规划课题”重点课题1项。</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推进专业优化调整，提升一流专业建设质量。金融工程专业入选校友会2023中国大学A+类专业，学院所有专业均进入软科中国大学专业排名（2023）中B+及以上行列；申报数字经济专业并通过教育部专家的评审。</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探索协同育人新模式，持续提升学生创新创业能力。建立就业实习联络人制度和业界导师库，建成4项虚拟仿真实验，获批“正大杯”第十四届大学生市场调查与分析大赛总决赛承办权，本科生发表SSCI/SCI收录论文3篇。</w:t>
            </w:r>
          </w:p>
          <w:p>
            <w:pPr>
              <w:keepNext w:val="0"/>
              <w:keepLines w:val="0"/>
              <w:pageBreakBefore w:val="0"/>
              <w:widowControl w:val="0"/>
              <w:kinsoku/>
              <w:wordWrap/>
              <w:overflowPunct/>
              <w:topLinePunct w:val="0"/>
              <w:autoSpaceDE/>
              <w:bidi w:val="0"/>
              <w:adjustRightInd/>
              <w:snapToGrid/>
              <w:spacing w:line="34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三、科研工作</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获批国家自科基金9项、国家社科基金1项，教育部人文社科项目2项；在国内权威期刊《经济学季刊》《数量经济技术经济研究》《财贸经济》等权威期刊及CSSCI、CSCD期刊上发表论文25篇，在国际高水平期刊《Cities》等发表国际高水平论文40篇，在校定核心期刊发表论文9篇，在国际知名出版机构出版1部英文学术著作。研究报告、政策建议、资政报告、决策咨询信息等获省部级领导批示或被教育部采用等7项；1篇文章观点被新华文摘转载，3篇文章被安徽日报刊载。</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成功举办2场高层次会议：第五届中国创新经济论坛；第一届中国经济政策评估论坛。学术报告和讲座52场。</w:t>
            </w:r>
          </w:p>
          <w:p>
            <w:pPr>
              <w:keepNext w:val="0"/>
              <w:keepLines w:val="0"/>
              <w:pageBreakBefore w:val="0"/>
              <w:widowControl w:val="0"/>
              <w:kinsoku/>
              <w:wordWrap/>
              <w:overflowPunct/>
              <w:topLinePunct w:val="0"/>
              <w:autoSpaceDE/>
              <w:bidi w:val="0"/>
              <w:adjustRightInd/>
              <w:snapToGrid/>
              <w:spacing w:line="34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四、学科建设与研究生工作</w:t>
            </w:r>
          </w:p>
          <w:p>
            <w:pPr>
              <w:keepNext w:val="0"/>
              <w:keepLines w:val="0"/>
              <w:pageBreakBefore w:val="0"/>
              <w:widowControl w:val="0"/>
              <w:kinsoku/>
              <w:wordWrap/>
              <w:overflowPunct/>
              <w:topLinePunct w:val="0"/>
              <w:autoSpaceDE/>
              <w:autoSpaceDN w:val="0"/>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 xml:space="preserve">    理论经济学硕士点专项评估全票通过。大力推进统计学博士授权点申报；获评中国金融专业学位论文中心第九届学位论文评选活动的优秀毕业论文数量排名第1，入选教指委第九届金融教学案例库案例数量排名第2；教育部教学位与研究生教育发展中心“中国专业学位案例中心”案例库收录3项案例；1项研究报告被国家金融信息平台--新华财经全文刊载；第九届“中金所杯”全国大学生金融知识大赛，我院获奖总人数位居全国第2，其中硕士生三等奖以上获奖人数在全国所有参赛院校中位列第1；接收推免生数量创历史新高；校校联合、校企联合、校政联合课程覆盖全部专业必修课程。开展“经世讲堂”和“济人课堂”等游学、移动课堂、学术交流及文体活动70余次。</w:t>
            </w:r>
          </w:p>
          <w:p>
            <w:pPr>
              <w:keepNext w:val="0"/>
              <w:keepLines w:val="0"/>
              <w:pageBreakBefore w:val="0"/>
              <w:widowControl w:val="0"/>
              <w:kinsoku/>
              <w:wordWrap/>
              <w:overflowPunct/>
              <w:topLinePunct w:val="0"/>
              <w:autoSpaceDE/>
              <w:autoSpaceDN w:val="0"/>
              <w:bidi w:val="0"/>
              <w:adjustRightInd/>
              <w:snapToGrid/>
              <w:spacing w:line="34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五、人才与师资工作</w:t>
            </w:r>
          </w:p>
          <w:p>
            <w:pPr>
              <w:keepNext w:val="0"/>
              <w:keepLines w:val="0"/>
              <w:pageBreakBefore w:val="0"/>
              <w:widowControl w:val="0"/>
              <w:kinsoku/>
              <w:wordWrap/>
              <w:overflowPunct/>
              <w:topLinePunct w:val="0"/>
              <w:autoSpaceDE/>
              <w:autoSpaceDN w:val="0"/>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引进副教授1人，紧缺师资4人，兼职教授1人，“黄山学者”特聘教授1人。</w:t>
            </w:r>
          </w:p>
          <w:p>
            <w:pPr>
              <w:keepNext w:val="0"/>
              <w:keepLines w:val="0"/>
              <w:pageBreakBefore w:val="0"/>
              <w:widowControl w:val="0"/>
              <w:kinsoku/>
              <w:wordWrap/>
              <w:overflowPunct/>
              <w:topLinePunct w:val="0"/>
              <w:autoSpaceDE/>
              <w:autoSpaceDN w:val="0"/>
              <w:bidi w:val="0"/>
              <w:adjustRightInd/>
              <w:snapToGrid/>
              <w:spacing w:line="34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六、学生工作与共青团工作</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红铁》获第五届“诵读中国”经典诵读大赛省三等奖。第二课堂系统项目供给量、学生平均星级全校第一。社会实践获省级优秀团队，校级奖项62项。承办校级及以上学科竞赛11项，2600余人次参与，获国家级一等奖2项，二等奖4项，三等奖6项，省一等奖26项，省二等奖53项，省三等奖56项。</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获评校“五四红旗团支部”，“优秀团委书记”、“优秀团支部书记”、“优秀青年标兵”各1人。学生组织分别获评A级学生会、A级研究生会。1人获评校长奖，1人入选校大学生“自强之星”。7人赴国际组织实习。</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优秀辅导员、优秀班主任各1人，学生工作队伍讲课比赛和辅导员精彩主题班会大赛三等奖各1人。</w:t>
            </w:r>
          </w:p>
          <w:p>
            <w:pPr>
              <w:keepNext w:val="0"/>
              <w:keepLines w:val="0"/>
              <w:pageBreakBefore w:val="0"/>
              <w:widowControl w:val="0"/>
              <w:kinsoku/>
              <w:wordWrap/>
              <w:overflowPunct/>
              <w:topLinePunct w:val="0"/>
              <w:autoSpaceDE/>
              <w:bidi w:val="0"/>
              <w:adjustRightInd/>
              <w:snapToGrid/>
              <w:spacing w:line="34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七、国有资产管理与财务</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修缮办公环境，资产管理责任明晰，经费使用合理合规。</w:t>
            </w:r>
          </w:p>
          <w:p>
            <w:pPr>
              <w:keepNext w:val="0"/>
              <w:keepLines w:val="0"/>
              <w:pageBreakBefore w:val="0"/>
              <w:widowControl w:val="0"/>
              <w:kinsoku/>
              <w:wordWrap/>
              <w:overflowPunct/>
              <w:topLinePunct w:val="0"/>
              <w:autoSpaceDE/>
              <w:bidi w:val="0"/>
              <w:adjustRightInd/>
              <w:snapToGrid/>
              <w:spacing w:line="34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八、国际化</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与克拉克大学“3+1+1”联合培养协议续签，启动克拉克大学暑校项目。与澳大利亚国立大学硕士研究生联合培养开启新合作周期，并且增添研究生联合培养新项目；接待克拉克大学和澳大利亚国立大学官方访问团组4次，全面恢复外教线下授课。中外合作办学项目升学率达到63.6%,培养质量再创新高。</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全面启动与克拉克大学联合申报合作办学机构前期论证以及洽谈谈判等多环节准备工作。全球胜任力项目内涵式建设不断提升，国际组织人才培养成效得到教育部人文交流中心的高度认可。</w:t>
            </w:r>
          </w:p>
          <w:p>
            <w:pPr>
              <w:keepNext w:val="0"/>
              <w:keepLines w:val="0"/>
              <w:pageBreakBefore w:val="0"/>
              <w:widowControl w:val="0"/>
              <w:kinsoku/>
              <w:wordWrap/>
              <w:overflowPunct/>
              <w:topLinePunct w:val="0"/>
              <w:autoSpaceDE/>
              <w:bidi w:val="0"/>
              <w:adjustRightInd/>
              <w:snapToGrid/>
              <w:spacing w:line="34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九、学院运行</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充分利用教职工之家，组织教职工参加足球、乒乓球、气排球比赛、师生羽毛球交流赛，举办瑜伽班、环巢湖拉练等，获运动会“体育道德风尚奖”，学院分工会获校优秀部门工会。</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开展消费帮扶和知识帮扶。</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用心用情做好教职工关心慰问工作。</w:t>
            </w:r>
          </w:p>
          <w:p>
            <w:pPr>
              <w:keepNext w:val="0"/>
              <w:keepLines w:val="0"/>
              <w:pageBreakBefore w:val="0"/>
              <w:widowControl w:val="0"/>
              <w:kinsoku/>
              <w:wordWrap/>
              <w:overflowPunct/>
              <w:topLinePunct w:val="0"/>
              <w:autoSpaceDE/>
              <w:bidi w:val="0"/>
              <w:adjustRightInd/>
              <w:snapToGrid/>
              <w:spacing w:line="340" w:lineRule="exact"/>
              <w:ind w:firstLine="480" w:firstLineChars="200"/>
              <w:textAlignment w:val="auto"/>
              <w:rPr>
                <w:rFonts w:ascii="仿宋" w:hAnsi="仿宋" w:eastAsia="仿宋"/>
              </w:rPr>
            </w:pPr>
            <w:r>
              <w:rPr>
                <w:rFonts w:hint="eastAsia" w:asciiTheme="minorEastAsia" w:hAnsiTheme="minorEastAsia" w:cstheme="minorEastAsia"/>
                <w:sz w:val="24"/>
                <w:szCs w:val="24"/>
              </w:rPr>
              <w:t>未发生任何安全责任事故。</w:t>
            </w:r>
          </w:p>
        </w:tc>
      </w:tr>
    </w:tbl>
    <w:p>
      <w:pPr>
        <w:rPr>
          <w:rFonts w:ascii="黑体" w:hAnsi="黑体" w:eastAsia="黑体" w:cs="黑体"/>
          <w:bCs/>
          <w:sz w:val="21"/>
        </w:rPr>
      </w:pPr>
      <w:r>
        <w:rPr>
          <w:rFonts w:ascii="黑体" w:hAnsi="黑体" w:eastAsia="黑体" w:cs="黑体"/>
          <w:bCs/>
          <w:sz w:val="21"/>
        </w:rPr>
        <w:br w:type="page"/>
      </w:r>
    </w:p>
    <w:p>
      <w:pPr>
        <w:pStyle w:val="4"/>
        <w:spacing w:line="579" w:lineRule="auto"/>
        <w:rPr>
          <w:rFonts w:asciiTheme="majorEastAsia" w:hAnsiTheme="majorEastAsia" w:cstheme="majorEastAsia"/>
          <w:sz w:val="30"/>
          <w:szCs w:val="30"/>
          <w:shd w:val="clear" w:color="auto" w:fill="FFFFFF"/>
        </w:rPr>
      </w:pPr>
      <w:bookmarkStart w:id="16" w:name="_Toc29232"/>
      <w:r>
        <w:rPr>
          <w:rFonts w:hint="eastAsia" w:asciiTheme="majorEastAsia" w:hAnsiTheme="majorEastAsia" w:cstheme="majorEastAsia"/>
          <w:sz w:val="30"/>
          <w:szCs w:val="30"/>
          <w:shd w:val="clear" w:color="auto" w:fill="FFFFFF"/>
        </w:rPr>
        <w:t>文法学院2023年度业绩简表</w:t>
      </w:r>
      <w:bookmarkEnd w:id="16"/>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sz w:val="24"/>
                <w:szCs w:val="21"/>
              </w:rPr>
            </w:pPr>
            <w:r>
              <w:rPr>
                <w:rFonts w:hint="eastAsia" w:ascii="仿宋" w:hAnsi="仿宋" w:eastAsia="仿宋"/>
                <w:b/>
                <w:sz w:val="24"/>
                <w:szCs w:val="21"/>
              </w:rPr>
              <w:t>单位名称</w:t>
            </w:r>
          </w:p>
        </w:tc>
        <w:tc>
          <w:tcPr>
            <w:tcW w:w="2976" w:type="dxa"/>
            <w:vAlign w:val="center"/>
          </w:tcPr>
          <w:p>
            <w:pPr>
              <w:jc w:val="center"/>
              <w:rPr>
                <w:rFonts w:ascii="仿宋" w:hAnsi="仿宋" w:eastAsia="仿宋"/>
                <w:b/>
                <w:sz w:val="24"/>
                <w:szCs w:val="21"/>
              </w:rPr>
            </w:pPr>
            <w:r>
              <w:rPr>
                <w:rFonts w:hint="eastAsia" w:ascii="仿宋" w:hAnsi="仿宋" w:eastAsia="仿宋"/>
                <w:b/>
                <w:sz w:val="24"/>
                <w:szCs w:val="21"/>
              </w:rPr>
              <w:t>文法学院</w:t>
            </w:r>
          </w:p>
        </w:tc>
        <w:tc>
          <w:tcPr>
            <w:tcW w:w="1747" w:type="dxa"/>
            <w:vAlign w:val="center"/>
          </w:tcPr>
          <w:p>
            <w:pPr>
              <w:jc w:val="center"/>
              <w:rPr>
                <w:rFonts w:ascii="仿宋" w:hAnsi="仿宋" w:eastAsia="仿宋"/>
                <w:b/>
                <w:sz w:val="24"/>
                <w:szCs w:val="21"/>
              </w:rPr>
            </w:pPr>
            <w:r>
              <w:rPr>
                <w:rFonts w:hint="eastAsia" w:ascii="仿宋" w:hAnsi="仿宋" w:eastAsia="仿宋"/>
                <w:b/>
                <w:sz w:val="24"/>
                <w:szCs w:val="21"/>
              </w:rPr>
              <w:t>单位职工数</w:t>
            </w:r>
          </w:p>
        </w:tc>
        <w:tc>
          <w:tcPr>
            <w:tcW w:w="2131" w:type="dxa"/>
            <w:vAlign w:val="center"/>
          </w:tcPr>
          <w:p>
            <w:pPr>
              <w:jc w:val="center"/>
              <w:rPr>
                <w:rFonts w:ascii="仿宋" w:hAnsi="仿宋" w:eastAsia="仿宋"/>
                <w:b/>
                <w:sz w:val="24"/>
                <w:szCs w:val="21"/>
              </w:rPr>
            </w:pPr>
            <w:r>
              <w:rPr>
                <w:rFonts w:ascii="仿宋" w:hAnsi="仿宋" w:eastAsia="仿宋"/>
                <w:b/>
                <w:sz w:val="24"/>
                <w:szCs w:val="21"/>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2" w:firstLineChars="200"/>
              <w:jc w:val="left"/>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一、党建和思想政治工作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（一）强化理论武装，坚持以习近平新时代中国特色社会主义思想凝心铸魂</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1.学院师生党员全覆盖学习党的二十大精神。2牢牢把握主题教育“学思想、强党性、重实践、建新功”的总体要求，坚持学思用贯通、知信行统一。3.健全落实常态化学习机制。</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(二)推进基层党组织建设，提升党建工作质量</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1.进一步健全组织体系，完善党组织设置。2.抓好日常工作，严把党员发展质量关，及时更新完善党组织和党员信息库建设。3.坚定不移做好意识形态工作。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（三）以师德师风和党风廉政建设为重点，加强学院纪委工作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开展多种形式的廉政和警示教育。开展师德师风集中教育与教师纪律教育。</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（四）汇聚各方力量，实施定点帮扶</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jc w:val="left"/>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二、教学工作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（一）做好2023年本科教学计划的修订工作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（二）以提升实践能力为导向促进人才培养方式改革</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三）大学生创新创业工作取得新进展。2023年指导学生参加各类竞赛成果突出，获得省级学科竞赛省级及以上奖百余项，其中获第十五届全国大学生广告大赛国家级二等奖1项、三等奖2项，省级一等奖13项、二等奖22项、三等奖49项；获十届挑战杯比赛省级一等奖8项、二等奖2项、三等奖4项等等。指导学生获得2023年安徽省大学生未来律师辩论赛一等奖。</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（四）教学研究取得新突破。本年度获教育部创新项目“法学课程思政资源库” 1项，获省级“六卓越一拔尖”项目1项、新建专业质量提升项目1项、思政示范课程2门、教改项目2项，教学成果（本科）二等奖1项。出版省级规划教材2部。</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jc w:val="left"/>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三、科研、师资队伍、研究生培养</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（一）科研及学术交流</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截止到2023年12月底，本年度学院共新增教育部、工信部等纵横向各类项目35余项。纵向项目立项合同金额196.4万元，到账经费64.1万元；横向项目今年立项合同金额254.4万元，到账经费179.6万元。发表高水平论文20篇，研究报告被省委领导批示1件。</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2023年度，先后邀请校外专家13人次来校做学术报告。有40人次教师参加学术会议或高层论坛并作专题发言。</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（二）师资队伍建设</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本年度，新进青年教师5人。1人入选安徽省学术和技术带头人后备人选 ，1人入选安徽省首席法律咨询专家库专家，3人入选安徽省法学法律专家库专家。</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（三）研究生培养</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2023年招生共全日制研究生59人（其中法学学术硕士11人，法律硕士43人、新闻与传播5人）招收非全日制21人。本年度全日制法律硕士毕业42人，学位授予率100%，就业率100%。5名研究生获学院学术成果专项奖学金、1名研究生获学院创新创业专项奖学金。</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jc w:val="left"/>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四、社会捐赠</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本年度接受社会捐赠20万元。专项用于法学学科人才培养和学科建设等。</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jc w:val="left"/>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五、实验室工作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完善了合肥校区模拟法庭实验室安全的管理规则，由专人实施管理；宣城校区的网络与新媒体实验室2023年完成建设并通过验收，已投入使用。</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jc w:val="left"/>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六、学生工作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围绕立德树人的根本任务，秉承“文以载道 德法兼修”育人理念，结合法学专业实践特色，遵循大学生的认识规律，以感性、知性、理性三个阶层为抓手；遵循思想政治教育规律，以知情意行四个维度为着力点，遵循大学生的成长成才规律，以五育并举为主线，不断推进法学+育人体系建设取得新成效。</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坚持以习近平新时代中国特色社会主义思想为主线扎实开展“学习二十大”、“爱校荣校”、“行走中的思政课”等主题教育活动50余场；组织普法理论宣讲团、学生分别赴包河法院、京师（合肥）律所、汊口村等地开展社会实践10余场；2023年，学生党支部发展预备党员24名，转正24名，培养入党积极分子81名。</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高度重视学生身心健康。学生体能测试获得2023年度校三等奖，认真做好2023级学生心理普测。守好安全底线。安全责任事故发生率、网络舆情事件发生率、评奖评优和党团推优投诉率均为0；组织招聘宣讲会、双选会，开展职业故事系列讲座等活动共计8场；学生获校大职规比赛特等奖、一等奖，1名学生晋级省赛决赛，1名教师获“优秀指导教师”，学院获“优秀组织奖”。本科生研究生就业率双100%。</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3.举办学宪法讲宪法竞赛、未来律师辩论赛等五大赛事共计10余项，共计20个学院参与，覆盖累计1000余人。指导学生获得省级奖项3项，校级奖项20余项。</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4.坚持问题导向，重视社会实践。1名学生荣获2023年全省大中专学生志愿者暑假“三下乡”社会实践“优秀个人”荣誉称号。各团队累计在中青网、新华网、安徽青年网、安徽经济网等国家级、省级新媒体平台发布新闻报道28篇，市县级、校级报道等共计81篇。2023年获安徽省大学生未来律师辩论赛获“一等奖”；2023年安徽省大学生模拟法庭大赛获“三等奖”；2023年安徽省“学宪法 讲宪法”演讲比赛、素养竞赛获双“一等奖”。</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jc w:val="left"/>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七、国际化</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asciiTheme="minorEastAsia" w:hAnsiTheme="minorEastAsia" w:cstheme="minorEastAsia"/>
                <w:sz w:val="24"/>
                <w:szCs w:val="24"/>
              </w:rPr>
            </w:pPr>
            <w:r>
              <w:rPr>
                <w:rFonts w:hint="eastAsia" w:asciiTheme="minorEastAsia" w:hAnsiTheme="minorEastAsia" w:cstheme="minorEastAsia"/>
                <w:sz w:val="24"/>
                <w:szCs w:val="24"/>
              </w:rPr>
              <w:t>获国家留学基金委资助前往美国哈佛大学做高级访问学者1人，并于今年8月学成回国。</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jc w:val="left"/>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八、国有资产管理与财务</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严格遵守学校有关国有资产管理规定和财务制度，做好资产自查和清理工作。</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jc w:val="left"/>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九、学院运行</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宋体" w:hAnsi="宋体" w:eastAsia="宋体" w:cs="宋体"/>
                <w:sz w:val="21"/>
                <w:szCs w:val="21"/>
              </w:rPr>
            </w:pPr>
            <w:r>
              <w:rPr>
                <w:rFonts w:hint="eastAsia" w:asciiTheme="minorEastAsia" w:hAnsiTheme="minorEastAsia" w:cstheme="minorEastAsia"/>
                <w:sz w:val="24"/>
                <w:szCs w:val="24"/>
              </w:rPr>
              <w:t>认真落实学校党政有关文件，严格执行院党委会、党政联席会议等制度，发挥学术委员会、教学指导与督导委员会、工会等作用，充分调动基层教学组织的积极性。</w:t>
            </w:r>
          </w:p>
        </w:tc>
      </w:tr>
    </w:tbl>
    <w:p>
      <w:r>
        <w:br w:type="page"/>
      </w:r>
    </w:p>
    <w:p>
      <w:pPr>
        <w:pStyle w:val="4"/>
        <w:spacing w:line="360" w:lineRule="auto"/>
        <w:rPr>
          <w:shd w:val="clear" w:color="auto" w:fill="FFFFFF"/>
        </w:rPr>
      </w:pPr>
      <w:bookmarkStart w:id="17" w:name="_Toc12632"/>
      <w:r>
        <w:rPr>
          <w:rFonts w:hint="eastAsia"/>
          <w:shd w:val="clear" w:color="auto" w:fill="FFFFFF"/>
        </w:rPr>
        <w:t>外国语学院2023年度业绩简表</w:t>
      </w:r>
      <w:bookmarkEnd w:id="17"/>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sz w:val="24"/>
                <w:szCs w:val="21"/>
              </w:rPr>
            </w:pPr>
            <w:r>
              <w:rPr>
                <w:rFonts w:hint="eastAsia" w:ascii="仿宋" w:hAnsi="仿宋" w:eastAsia="仿宋"/>
                <w:b/>
                <w:sz w:val="24"/>
                <w:szCs w:val="21"/>
              </w:rPr>
              <w:t>单位名称</w:t>
            </w:r>
          </w:p>
        </w:tc>
        <w:tc>
          <w:tcPr>
            <w:tcW w:w="2976" w:type="dxa"/>
            <w:vAlign w:val="center"/>
          </w:tcPr>
          <w:p>
            <w:pPr>
              <w:jc w:val="center"/>
              <w:rPr>
                <w:rFonts w:ascii="仿宋" w:hAnsi="仿宋" w:eastAsia="仿宋"/>
                <w:b/>
                <w:sz w:val="24"/>
                <w:szCs w:val="21"/>
              </w:rPr>
            </w:pPr>
            <w:r>
              <w:rPr>
                <w:rFonts w:hint="eastAsia" w:ascii="仿宋" w:hAnsi="仿宋" w:eastAsia="仿宋"/>
                <w:b/>
                <w:sz w:val="24"/>
                <w:szCs w:val="21"/>
              </w:rPr>
              <w:t>外国语学院</w:t>
            </w:r>
          </w:p>
        </w:tc>
        <w:tc>
          <w:tcPr>
            <w:tcW w:w="1747" w:type="dxa"/>
            <w:vAlign w:val="center"/>
          </w:tcPr>
          <w:p>
            <w:pPr>
              <w:jc w:val="center"/>
              <w:rPr>
                <w:rFonts w:ascii="仿宋" w:hAnsi="仿宋" w:eastAsia="仿宋"/>
                <w:b/>
                <w:sz w:val="24"/>
                <w:szCs w:val="21"/>
              </w:rPr>
            </w:pPr>
            <w:r>
              <w:rPr>
                <w:rFonts w:hint="eastAsia" w:ascii="仿宋" w:hAnsi="仿宋" w:eastAsia="仿宋"/>
                <w:b/>
                <w:sz w:val="24"/>
                <w:szCs w:val="21"/>
              </w:rPr>
              <w:t>单位职工数</w:t>
            </w:r>
          </w:p>
        </w:tc>
        <w:tc>
          <w:tcPr>
            <w:tcW w:w="2131" w:type="dxa"/>
            <w:vAlign w:val="center"/>
          </w:tcPr>
          <w:p>
            <w:pPr>
              <w:jc w:val="center"/>
              <w:rPr>
                <w:rFonts w:ascii="仿宋" w:hAnsi="仿宋" w:eastAsia="仿宋"/>
                <w:b/>
                <w:sz w:val="24"/>
                <w:szCs w:val="21"/>
              </w:rPr>
            </w:pPr>
            <w:r>
              <w:rPr>
                <w:rFonts w:ascii="仿宋" w:hAnsi="仿宋" w:eastAsia="仿宋"/>
                <w:b/>
                <w:sz w:val="24"/>
                <w:szCs w:val="21"/>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一、党建与思想政治等相关工作</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1.在教师引进、课程建设、教材选用、学术活动等重大问题上严把政治关。</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2.扎实开展学习贯彻习近平新时代中国特色社会主义思想主题教育工作，凝心铸魂筑牢根本，教育引导师生坚定理想信念。</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3.使用多语种《理解当代中国》系列教材，结合“开学第一课”开展课程思政教学研讨活动。</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4.对现用71部教材、教辅和所有课程授课PPT进行意识形态风险隐患排查。</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5.修改润色毕业生学位论文英文摘要260余篇。</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6.编印《外国语学院师德师风建设制度文件及警示案例选编》，开展师德集中学习教育。</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7.开展学院权责事务不清加重工作负担问题专项整治工作，厘清学院办公人员岗位职责，制定学院工作会议管理办法，对学院工作群备案登记，解散非必要工作群20个。</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8.“以购代捐”助力农产品销售139000元，赴利辛县陈营村开展 “英语语言学导论”示范教学、捐赠学习用品等定点帮扶活动。</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二、教学工作</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1.完成两地三校区的本科、研究生、博士生和安徽医科大学联合培养课程及宣城校区中白联合培养项目近2</w:t>
            </w:r>
            <w:r>
              <w:rPr>
                <w:rFonts w:hint="eastAsia" w:asciiTheme="minorEastAsia" w:hAnsiTheme="minorEastAsia" w:eastAsiaTheme="minorEastAsia" w:cstheme="minorEastAsia"/>
                <w:color w:val="000000"/>
                <w:sz w:val="21"/>
                <w:szCs w:val="21"/>
                <w:lang w:val="en-US" w:eastAsia="zh-CN"/>
              </w:rPr>
              <w:t>2</w:t>
            </w:r>
            <w:r>
              <w:rPr>
                <w:rFonts w:hint="eastAsia" w:asciiTheme="minorEastAsia" w:hAnsiTheme="minorEastAsia" w:eastAsiaTheme="minorEastAsia" w:cstheme="minorEastAsia"/>
                <w:color w:val="000000"/>
                <w:sz w:val="21"/>
                <w:szCs w:val="21"/>
              </w:rPr>
              <w:t>000名学生的教学任务。全院教师完成教学工作量：本科生53682.4课时，硕博生9155.4课时。</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全面推进“三进”系列教材与专业课程体系的深度融合。英语专业面向本科三年级学生新开设一门必修课，两门本科专业课程积极探索专业人才培养新模式。印度尼西亚语专业《高级英语》等多门主干课程以及其他语种教学也积极融入“三进”系列教材的相关内容。</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3.学院在黑龙江和吉林的本科招生宣传成效显著。其中，黑龙江考生在全校本科生录取最低分排名上升排行榜位居第一。</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4.英语专业四八级通过率稳步提高，分别比全国平均通过率高出43.9%和32.72%。</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5.2022年获批立项6项省级质量工程项目（2023年正式下文立项），2023年度有5项通过学校遴选推荐至省厅。</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6.学院1门课程被世界慕课与在线教育联盟遴选为印尼全球融合式课堂项目，3门课程入选国家智慧教育平台国际版课程。</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7.2023年录取硕士研究生共45人，其中211以上学校硕士生生源比例为13.3%，比前一年（6.3%）提高了7%。拟录取2024年推荐免试攻读硕士学位研究生18人，推免生源增长了80%。</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8.成功申报国家级及其以下级别的大创项目33项，指导学生获得省部级以上竞赛奖励近400项。其中中国高校竞赛排行榜赛事国家级获奖5项。省部级获奖3项。本院学生参加省部级以上竞赛280人次，获得省部级以上竞赛奖励130人次，每百名学生获奖率46.0%。</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9.研究生公共英语教学综合改革深入推进。博士英语 “英语+专业”课程涵盖所有学科专业，硕士英语“英语+专业”课程推广到13个学院。</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三、科研工作</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1.建立省部级以上60项科研项目（2008-2023）档案，统计在研项目(纵向项目55项及横向项目7项)建设情况、项目进度及成果产出，梳理科研基础和成果方向，持续优化科研发展路径。</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2.共立项纵向科研项目9项，包括教育部国家级A项目1项、安徽省哲学社会科学项目1项及省部级项目2项。</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3.优化了斛兵外语讲坛活动，开设了“科研产出大家说”学术报告系列活动（朋辈、博士、主编及学科大咖），开展讲座共计9场。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4.共发表期刊论文63篇，包括SCI收录3篇、SSCI收录4篇、EI收录3篇、CSSCI收录9篇及北大核心收录文章2篇；会议论文3篇；媒体论文1篇（中国社会科学网刊载）。</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四、学科建设和研究生工作</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1.制定了《学科与专业建设规划（2023-2028）》，进一步明确学科发展定位、目标和举措。</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积极推进校企联合、协同育人工作。赴江淮汽车集团有限公司、安徽省出入境管理局和合肥滨湖科学城管委会调研，洽谈并落实实习基地和校企合作等事宜。学院和合肥滨湖科学城管委会签约首个校级研究生联合培养基地。</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3.推进“外语+”专业转型，全面推进英语专业“国一流”建设。制定2023版专业人才培养计划，精准定位“外语+”专业复合型、应用型人才的培养目标。</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印尼语专业2019级就业率为90%。其中19%入职政府部门，31%考取研究生，50%进入新能源企业。引入印尼语外籍语言教师，推进与海螺集团的产学研合作。获批合肥工业大学“双一流”建设专项-印度尼西亚语工程文化品牌建设项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5.积极推动微专业建设。选派九名教师全程对接全球治理课程，跨校区、跨专业选拔三届共计六十名学生参与全球治理课程，选派两名学生赴驻华使领馆实习，两名学生赴美国和泰国参加寒假实训营，循序开展学生PBL课程、学术前沿大咖说等工作。</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b/>
                <w:bCs/>
                <w:color w:val="000000"/>
                <w:sz w:val="21"/>
                <w:szCs w:val="21"/>
              </w:rPr>
              <w:t>五、人才与师资工作</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1.录用优秀青年博士教师3名。新增校外行业导师2人，新增3位硕士生导师。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2.成立了人才引育工作小组，制定了《外国语学院师资队伍建设规划（2023-2025）》，确定了学院“育才梯队”，完成人才引进Top期刊的编制，参加了2023年国际青年学者云论坛。</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六、学生工作与共青团工作</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1.以小班辅导、主题班会为载体，宣传贯彻党的二十大精神，组织 “党的二十大精神宣讲”主题活动。</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2.以“斛兵青年说”、读书嘉年华系列活动学院特色品牌活动为依托，经常性开展社会主义核心价值观的宣传。</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3.举办第三届“用英语讲中国故事”活动。</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4.开展“国际类”求职能力提升训练营、优秀校友职业发展讲座、“英语&amp;红酒”品鉴文化交流讲座等。开展“营造一片绿意”主题劳动教育。开展“南艳湖”劳动基地教育实践活动、主题绘画活动。</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5.本科生开展40场小班辅导、80场主题班会。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6.构建“乐学-动力”、“好学-善思”、“勤学-养成”、“辅学-帮扶”四大学业发展体系。</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7.成立“语通中外”大学英语学业发展中心，开展线上线下朋辈辅导，举办四六级培训讲座。</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8.学生共获得国家级、校级及社会捐资奖学金共220余项。</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七、国有资产管理与财务管理</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1.配合学校的经济责任审计工作，形成经济责任审计报告，列出7个需要整改的问题。</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2.完成2022年度资产盘点工作，形成《外国语学院2022年度资产盘点工作报告》和《有账无物资产明细清单》。</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3.清查学院合肥校区公房使用情况，调整公房使用空间，为公房有偿使用打下了基础。</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雅思考点全年为超过8000人次提供考试服务。语言服务中心提供笔译57次共计3.3万字、口译4场约32小时、其它陪同翻译2场约4小时。承接省外事办援外“一带一路”培训翻译项目5场，世界制造业大会陪同翻译1场、组委会志愿者4人，为我校与印度尼西亚哈桑努丁大学、阿塞拜疆共和国巴库国立大学的签约仪式等提供会议翻译服务。</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八、教育国际化</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1.新聘4位外籍语言教师。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2.参加了 “2023高层次国际化人才培养创新实践项目年度交流暨推进会”，向印尼驻华大使馆教育参赞汇报并交流学院的印尼语建设专业特色。各派1名学生赴斯里兰卡驻华大使馆，和斯里兰卡驻广州领事馆进行实习。</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3.与印度尼西亚哈桑努丁大学签署校级协议。与威斯敏斯特大学中国办公室高级招生专员就合作的项目交换了意见；与印度尼西亚（印尼）建国大学文学院成功召开国际合作线上交流会。</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九、学院运行及其它</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1.认真贯彻执行学校政策，落实、督办各项行政工作任务，确保政令畅通。OA办公系统完成值班、公务外出申请、会议报备、校级收文和信访管理等合计36条，完成率100%。</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2.定期召开安全稳定专题会议，及时梳理和排查安全风险隐患。全年未发生重大网络安全事故、生产安全事故和瞒报漏报情况。</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3.修改《翡翠湖校区语音实验室更新》方案，跟进9教与11教改造修缮项目。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4.组织师生参加实验室安全准入知识学习。参加学校实验室安全知识竞赛。确保学校各类听力考试的顺利进行。</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5.学院负责人履行法治主体责任，由专人负责学院的法治工作。</w:t>
            </w:r>
          </w:p>
          <w:p>
            <w:pPr>
              <w:spacing w:line="260" w:lineRule="exact"/>
              <w:rPr>
                <w:rFonts w:ascii="仿宋" w:hAnsi="仿宋" w:eastAsia="仿宋" w:cs="Times New Roman"/>
                <w:b/>
                <w:bCs/>
                <w:color w:val="000000"/>
                <w:sz w:val="18"/>
                <w:szCs w:val="18"/>
              </w:rPr>
            </w:pPr>
          </w:p>
        </w:tc>
      </w:tr>
    </w:tbl>
    <w:p>
      <w:r>
        <w:br w:type="page"/>
      </w:r>
    </w:p>
    <w:p>
      <w:pPr>
        <w:pStyle w:val="4"/>
        <w:spacing w:line="360" w:lineRule="auto"/>
        <w:rPr>
          <w:rFonts w:hint="eastAsia"/>
          <w:shd w:val="clear" w:color="auto" w:fill="FFFFFF"/>
        </w:rPr>
      </w:pPr>
      <w:bookmarkStart w:id="18" w:name="_Toc17558"/>
      <w:r>
        <w:rPr>
          <w:rFonts w:hint="eastAsia"/>
          <w:shd w:val="clear" w:color="auto" w:fill="FFFFFF"/>
        </w:rPr>
        <w:t>管理学院2023年度业绩简表</w:t>
      </w:r>
      <w:bookmarkEnd w:id="18"/>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668" w:type="dxa"/>
            <w:vAlign w:val="center"/>
          </w:tcPr>
          <w:p>
            <w:pPr>
              <w:spacing w:line="280" w:lineRule="exact"/>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单位名称</w:t>
            </w:r>
          </w:p>
        </w:tc>
        <w:tc>
          <w:tcPr>
            <w:tcW w:w="2976" w:type="dxa"/>
            <w:vAlign w:val="center"/>
          </w:tcPr>
          <w:p>
            <w:pPr>
              <w:spacing w:line="280" w:lineRule="exact"/>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管理学院</w:t>
            </w:r>
          </w:p>
        </w:tc>
        <w:tc>
          <w:tcPr>
            <w:tcW w:w="1747" w:type="dxa"/>
            <w:vAlign w:val="center"/>
          </w:tcPr>
          <w:p>
            <w:pPr>
              <w:spacing w:line="280" w:lineRule="exact"/>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单位职工数</w:t>
            </w:r>
          </w:p>
        </w:tc>
        <w:tc>
          <w:tcPr>
            <w:tcW w:w="2131" w:type="dxa"/>
            <w:vAlign w:val="center"/>
          </w:tcPr>
          <w:p>
            <w:pPr>
              <w:spacing w:line="280" w:lineRule="exact"/>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keepNext w:val="0"/>
              <w:keepLines w:val="0"/>
              <w:pageBreakBefore w:val="0"/>
              <w:kinsoku/>
              <w:wordWrap/>
              <w:overflowPunct/>
              <w:topLinePunct w:val="0"/>
              <w:autoSpaceDE/>
              <w:autoSpaceDN/>
              <w:bidi w:val="0"/>
              <w:spacing w:line="280" w:lineRule="exact"/>
              <w:ind w:firstLine="422" w:firstLineChars="200"/>
              <w:rPr>
                <w:rFonts w:asciiTheme="minorEastAsia" w:hAnsiTheme="minorEastAsia" w:cstheme="minorEastAsia"/>
                <w:b/>
                <w:sz w:val="21"/>
                <w:szCs w:val="21"/>
              </w:rPr>
            </w:pPr>
            <w:r>
              <w:rPr>
                <w:rFonts w:hint="eastAsia" w:asciiTheme="minorEastAsia" w:hAnsiTheme="minorEastAsia" w:cstheme="minorEastAsia"/>
                <w:b/>
                <w:sz w:val="21"/>
                <w:szCs w:val="21"/>
              </w:rPr>
              <w:t>一、党建与思想政治工作</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1.精心制定管理学院《学习贯彻党的二十大精神教育培训工作方案》《开展学习贯彻习近平新时代中国特色社会主义思想主题教育实施方案》和《学习贯彻习近平新时代中国特色社会主义思想主题教育任务清单》，扎实推动党的二十大精神学习和主题教育有效开展。</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2.全年学院理论中心组集中学习研讨13次，召开党委会17次、党政联席会36次。完成3个基层党支部换届工作，24个党支部的改选补选工作。</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3.发放《习近平著作选读》《廉政警钟》等书籍1000余本，邀请多场专题辅导报告，举办公务礼仪和公文写作专题培训，举办“企业数字化转型实践”等专题调研，开展学院“学习宣传贯彻党的二十大精神”等主题征文活动。</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4.2个党支部获批安徽省第二批党建工作“样板支部”。1个教师党支部申报第四批新时代高校全国党建工作“样板支部”，1个研究生党支部申报第三批全国高校“百个研究生样板党支部”。 14个党支部开展星级党支部评定，其中2个党支部获得四星党支部，5个党支部获得三星党支部。</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5.拍摄并组织收看《我是科学人》之《做时代发展的引领者》等杨善林院士专题片，拍摄教育部2023年度高校党组织“铸魂增智育新人，正风促干书新篇”示范微党课。</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6.获校“学习宣传贯彻党的二十大精神”主题征文活动教工组一等奖、学生组二等奖。获校“学习二十大，奋进新征程”学习宣传贯彻党的二十大精神知识竞赛二等奖，获校“廉洁润初心铸魂担使命”演讲比赛一等奖。</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7.制订学院《“找差距、转作风、抓实效”加强作风建设实施方案》，分部门开展“四查四看”交流会。组织赴安徽省干部现场教学基地（岳西）等党风廉政基地开展警示教育。召开毕业生党员廉洁教育专题报告会。</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8.助力灵璧县高质量发展人才培养班顺利开班。完成消费帮扶款项16.9万元。荣获校田径运动会“体育道德风尚奖”集体奖。</w:t>
            </w:r>
          </w:p>
          <w:p>
            <w:pPr>
              <w:keepNext w:val="0"/>
              <w:keepLines w:val="0"/>
              <w:pageBreakBefore w:val="0"/>
              <w:kinsoku/>
              <w:wordWrap/>
              <w:overflowPunct/>
              <w:topLinePunct w:val="0"/>
              <w:autoSpaceDE/>
              <w:autoSpaceDN/>
              <w:bidi w:val="0"/>
              <w:spacing w:line="280" w:lineRule="exact"/>
              <w:ind w:firstLine="422" w:firstLineChars="200"/>
              <w:rPr>
                <w:rFonts w:asciiTheme="minorEastAsia" w:hAnsiTheme="minorEastAsia" w:cstheme="minorEastAsia"/>
                <w:b/>
                <w:sz w:val="21"/>
                <w:szCs w:val="21"/>
              </w:rPr>
            </w:pPr>
            <w:r>
              <w:rPr>
                <w:rFonts w:hint="eastAsia" w:asciiTheme="minorEastAsia" w:hAnsiTheme="minorEastAsia" w:cstheme="minorEastAsia"/>
                <w:b/>
                <w:sz w:val="21"/>
                <w:szCs w:val="21"/>
              </w:rPr>
              <w:t>二、教学工作</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1.杨善林院士牵头的高端装备制造领域教材团队入选教育部战略性新兴领域“十四五”高等教育教材体系建设团队。</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2.信息系统分析与设计等3门课程获评第二批国家级一流本科课程，学院国家级一流本科课程总数达到5门。</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3.推进AACSB认证体系贯通本科人才培养全过程，完成2023版本科人才培养方案修订。</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4.获电子商务三创赛全国总决赛一等奖4项，安徽省“互联网+”大赛金奖2项，获批国家级大学生创新创业项目7项。</w:t>
            </w:r>
          </w:p>
          <w:p>
            <w:pPr>
              <w:keepNext w:val="0"/>
              <w:keepLines w:val="0"/>
              <w:pageBreakBefore w:val="0"/>
              <w:kinsoku/>
              <w:wordWrap/>
              <w:overflowPunct/>
              <w:topLinePunct w:val="0"/>
              <w:autoSpaceDE/>
              <w:autoSpaceDN/>
              <w:bidi w:val="0"/>
              <w:adjustRightInd w:val="0"/>
              <w:snapToGrid w:val="0"/>
              <w:spacing w:line="280" w:lineRule="exact"/>
              <w:ind w:firstLine="422" w:firstLineChars="200"/>
              <w:rPr>
                <w:rFonts w:asciiTheme="minorEastAsia" w:hAnsiTheme="minorEastAsia" w:cstheme="minorEastAsia"/>
                <w:b/>
                <w:sz w:val="21"/>
                <w:szCs w:val="21"/>
              </w:rPr>
            </w:pPr>
            <w:r>
              <w:rPr>
                <w:rFonts w:hint="eastAsia" w:asciiTheme="minorEastAsia" w:hAnsiTheme="minorEastAsia" w:cstheme="minorEastAsia"/>
                <w:b/>
                <w:sz w:val="21"/>
                <w:szCs w:val="21"/>
              </w:rPr>
              <w:t>三、科研工作</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1.获批国家自然科学基金项目19项，其中重点类项目3项、优秀青年基金项目2项，获批资助直接经费1488万元，校内排名第一。全年合同经费6651万元，增幅21.86%，到账经费7020万元。</w:t>
            </w:r>
          </w:p>
          <w:p>
            <w:pPr>
              <w:keepNext w:val="0"/>
              <w:keepLines w:val="0"/>
              <w:pageBreakBefore w:val="0"/>
              <w:kinsoku/>
              <w:wordWrap/>
              <w:overflowPunct/>
              <w:topLinePunct w:val="0"/>
              <w:autoSpaceDE/>
              <w:autoSpaceDN/>
              <w:bidi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2.发表高水平论文200余篇，部分研究成果在UTD24期刊和IEEE 汇刊、管理世界、管理科学学报等国内外顶级期刊发表。授权国家发明专利88项。获教育部高等学校科学研究优秀成果奖二等奖。</w:t>
            </w:r>
          </w:p>
          <w:p>
            <w:pPr>
              <w:keepNext w:val="0"/>
              <w:keepLines w:val="0"/>
              <w:pageBreakBefore w:val="0"/>
              <w:kinsoku/>
              <w:wordWrap/>
              <w:overflowPunct/>
              <w:topLinePunct w:val="0"/>
              <w:autoSpaceDE/>
              <w:autoSpaceDN/>
              <w:bidi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 xml:space="preserve">3.1项政策建议被教育部采纳，刊发教育部简报；1项被安徽省政协十三届一次会议立案；1项被致公党安徽省委内刊刊发，并被中央委托致公党年度重点调研问题成果转化行动方案中吸纳。 </w:t>
            </w:r>
          </w:p>
          <w:p>
            <w:pPr>
              <w:keepNext w:val="0"/>
              <w:keepLines w:val="0"/>
              <w:pageBreakBefore w:val="0"/>
              <w:kinsoku/>
              <w:wordWrap/>
              <w:overflowPunct/>
              <w:topLinePunct w:val="0"/>
              <w:autoSpaceDE/>
              <w:autoSpaceDN/>
              <w:bidi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4.组织“斛兵管理前沿”学术讲座58场。主办国内高水平学术会议3场。举办教育部哲学社会科学实验室和安徽省哲学社会科学重点实验室学术委员会会议。主办《工程管理科技前沿》2023年度编委会会议暨特约通讯专家会议，8名中国工程院院士参会。</w:t>
            </w:r>
          </w:p>
          <w:p>
            <w:pPr>
              <w:keepNext w:val="0"/>
              <w:keepLines w:val="0"/>
              <w:pageBreakBefore w:val="0"/>
              <w:kinsoku/>
              <w:wordWrap/>
              <w:overflowPunct/>
              <w:topLinePunct w:val="0"/>
              <w:autoSpaceDE/>
              <w:autoSpaceDN/>
              <w:bidi w:val="0"/>
              <w:spacing w:line="280" w:lineRule="exact"/>
              <w:ind w:firstLine="422" w:firstLineChars="200"/>
              <w:rPr>
                <w:rFonts w:asciiTheme="minorEastAsia" w:hAnsiTheme="minorEastAsia" w:cstheme="minorEastAsia"/>
                <w:b/>
                <w:sz w:val="21"/>
                <w:szCs w:val="21"/>
              </w:rPr>
            </w:pPr>
            <w:r>
              <w:rPr>
                <w:rFonts w:hint="eastAsia" w:asciiTheme="minorEastAsia" w:hAnsiTheme="minorEastAsia" w:cstheme="minorEastAsia"/>
                <w:b/>
                <w:sz w:val="21"/>
                <w:szCs w:val="21"/>
              </w:rPr>
              <w:t>四、学科建设与研究生工作</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1</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rPr>
              <w:t>组织申报2023年高等教育（研究生）国家级教学成果奖，获一等奖1项、二等奖1项，持续探索和实践一流学科研究生培养的模式创新与能力建设。</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2</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rPr>
              <w:t>顺利完成硕士研究生推免工作，接收的推免生中优质生源占比达45.6%，生源结构进一步优化。</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3</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rPr>
              <w:t>组织申报省级研究生质量工程项目，10个项目推荐到安徽省。</w:t>
            </w:r>
          </w:p>
          <w:p>
            <w:pPr>
              <w:keepNext w:val="0"/>
              <w:keepLines w:val="0"/>
              <w:pageBreakBefore w:val="0"/>
              <w:kinsoku/>
              <w:wordWrap/>
              <w:overflowPunct/>
              <w:topLinePunct w:val="0"/>
              <w:autoSpaceDE/>
              <w:autoSpaceDN/>
              <w:bidi w:val="0"/>
              <w:adjustRightInd w:val="0"/>
              <w:snapToGrid w:val="0"/>
              <w:spacing w:line="280" w:lineRule="exact"/>
              <w:ind w:firstLine="422" w:firstLineChars="200"/>
              <w:rPr>
                <w:rFonts w:asciiTheme="minorEastAsia" w:hAnsiTheme="minorEastAsia" w:cstheme="minorEastAsia"/>
                <w:bCs/>
                <w:sz w:val="21"/>
                <w:szCs w:val="21"/>
              </w:rPr>
            </w:pPr>
            <w:r>
              <w:rPr>
                <w:rFonts w:hint="eastAsia" w:asciiTheme="minorEastAsia" w:hAnsiTheme="minorEastAsia" w:cstheme="minorEastAsia"/>
                <w:b/>
                <w:sz w:val="21"/>
                <w:szCs w:val="21"/>
              </w:rPr>
              <w:t>五、</w:t>
            </w:r>
            <w:r>
              <w:rPr>
                <w:rFonts w:hint="eastAsia" w:asciiTheme="minorEastAsia" w:hAnsiTheme="minorEastAsia" w:cstheme="minorEastAsia"/>
                <w:bCs/>
                <w:sz w:val="21"/>
                <w:szCs w:val="21"/>
              </w:rPr>
              <w:t>人才与师资工作</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bCs/>
                <w:sz w:val="21"/>
                <w:szCs w:val="21"/>
              </w:rPr>
              <w:t>1</w:t>
            </w:r>
            <w:r>
              <w:rPr>
                <w:rFonts w:hint="eastAsia" w:asciiTheme="minorEastAsia" w:hAnsiTheme="minorEastAsia" w:cstheme="minorEastAsia"/>
                <w:sz w:val="21"/>
                <w:szCs w:val="21"/>
              </w:rPr>
              <w:t>.2人入选国家级人才计划/项目，2人获批优秀青年科学基金项目，学院国家级人才数量共计16人。</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2</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rPr>
              <w:t>1人获成思危全球奖，1人获第三届全国创新争先奖，1人获第四届“安徽省突出贡献人才”称号。</w:t>
            </w:r>
          </w:p>
          <w:p>
            <w:pPr>
              <w:keepNext w:val="0"/>
              <w:keepLines w:val="0"/>
              <w:pageBreakBefore w:val="0"/>
              <w:widowControl/>
              <w:kinsoku/>
              <w:wordWrap/>
              <w:overflowPunct/>
              <w:topLinePunct w:val="0"/>
              <w:autoSpaceDE/>
              <w:autoSpaceDN/>
              <w:bidi w:val="0"/>
              <w:spacing w:line="280" w:lineRule="exact"/>
              <w:ind w:firstLine="422" w:firstLineChars="200"/>
              <w:textAlignment w:val="center"/>
              <w:rPr>
                <w:rFonts w:asciiTheme="minorEastAsia" w:hAnsiTheme="minorEastAsia" w:cstheme="minorEastAsia"/>
                <w:b/>
                <w:sz w:val="21"/>
                <w:szCs w:val="21"/>
              </w:rPr>
            </w:pPr>
            <w:r>
              <w:rPr>
                <w:rFonts w:hint="eastAsia" w:asciiTheme="minorEastAsia" w:hAnsiTheme="minorEastAsia" w:cstheme="minorEastAsia"/>
                <w:b/>
                <w:sz w:val="21"/>
                <w:szCs w:val="21"/>
              </w:rPr>
              <w:t>六、学生工作与共青团工作</w:t>
            </w:r>
          </w:p>
          <w:p>
            <w:pPr>
              <w:keepNext w:val="0"/>
              <w:keepLines w:val="0"/>
              <w:pageBreakBefore w:val="0"/>
              <w:widowControl/>
              <w:kinsoku/>
              <w:wordWrap/>
              <w:overflowPunct/>
              <w:topLinePunct w:val="0"/>
              <w:autoSpaceDE/>
              <w:autoSpaceDN/>
              <w:bidi w:val="0"/>
              <w:spacing w:line="280" w:lineRule="exact"/>
              <w:ind w:firstLine="420" w:firstLineChars="200"/>
              <w:textAlignment w:val="center"/>
              <w:rPr>
                <w:rFonts w:asciiTheme="minorEastAsia" w:hAnsiTheme="minorEastAsia" w:cstheme="minorEastAsia"/>
                <w:sz w:val="21"/>
                <w:szCs w:val="21"/>
              </w:rPr>
            </w:pPr>
            <w:r>
              <w:rPr>
                <w:rFonts w:hint="eastAsia" w:asciiTheme="minorEastAsia" w:hAnsiTheme="minorEastAsia" w:cstheme="minorEastAsia"/>
                <w:sz w:val="21"/>
                <w:szCs w:val="21"/>
              </w:rPr>
              <w:t>1.承办学习宣传贯彻党的二十大精神知识竞赛，2人入选“二十大精神”宣讲团，实现全覆盖宣讲，承办国旗下的思政课2场，举办场馆里的思政课58场，行走的思政课覆盖600余人；主题展演一等奖，经典诵读二等奖；一院一品等8个项目顺利结题，获批中国科协“学风涵养工作室”项目1项，校级文化传承创新项目1项、思政教育研究项目1项、“五育并举”实践项目3项，2人参加科协学风传承行动。</w:t>
            </w:r>
          </w:p>
          <w:p>
            <w:pPr>
              <w:keepNext w:val="0"/>
              <w:keepLines w:val="0"/>
              <w:pageBreakBefore w:val="0"/>
              <w:widowControl/>
              <w:kinsoku/>
              <w:wordWrap/>
              <w:overflowPunct/>
              <w:topLinePunct w:val="0"/>
              <w:autoSpaceDE/>
              <w:autoSpaceDN/>
              <w:bidi w:val="0"/>
              <w:spacing w:line="280" w:lineRule="exact"/>
              <w:ind w:firstLine="420" w:firstLineChars="200"/>
              <w:textAlignment w:val="center"/>
              <w:rPr>
                <w:rFonts w:asciiTheme="minorEastAsia" w:hAnsiTheme="minorEastAsia" w:cstheme="minorEastAsia"/>
                <w:sz w:val="21"/>
                <w:szCs w:val="21"/>
              </w:rPr>
            </w:pPr>
            <w:r>
              <w:rPr>
                <w:rFonts w:hint="eastAsia" w:asciiTheme="minorEastAsia" w:hAnsiTheme="minorEastAsia" w:cstheme="minorEastAsia"/>
                <w:sz w:val="21"/>
                <w:szCs w:val="21"/>
              </w:rPr>
              <w:t>2.承办教育部宏志助航计划2期，完成高质量就业项目，举办精准招聘会2场。本科生就业率96.26%，留皖率50.29%，普研就业率97.99%，留皖率60.66%，博士就业率100%，留皖率62.96。基层就业15人，9人考取选调生。访企拓岗20家，建立就业实习基地5个。</w:t>
            </w:r>
          </w:p>
          <w:p>
            <w:pPr>
              <w:keepNext w:val="0"/>
              <w:keepLines w:val="0"/>
              <w:pageBreakBefore w:val="0"/>
              <w:widowControl/>
              <w:kinsoku/>
              <w:wordWrap/>
              <w:overflowPunct/>
              <w:topLinePunct w:val="0"/>
              <w:autoSpaceDE/>
              <w:autoSpaceDN/>
              <w:bidi w:val="0"/>
              <w:spacing w:line="280" w:lineRule="exact"/>
              <w:ind w:firstLine="420" w:firstLineChars="200"/>
              <w:textAlignment w:val="center"/>
              <w:rPr>
                <w:rFonts w:asciiTheme="minorEastAsia" w:hAnsiTheme="minorEastAsia" w:cstheme="minorEastAsia"/>
                <w:sz w:val="21"/>
                <w:szCs w:val="21"/>
              </w:rPr>
            </w:pPr>
            <w:r>
              <w:rPr>
                <w:rFonts w:hint="eastAsia" w:asciiTheme="minorEastAsia" w:hAnsiTheme="minorEastAsia" w:cstheme="minorEastAsia"/>
                <w:sz w:val="21"/>
                <w:szCs w:val="21"/>
              </w:rPr>
              <w:t>3.心理示范中心建设通过年度考核，获批2个特色育人项目；承办“斛心沙龙”2场，“斛心工作坊”1场；普测约谈反馈100%，成功干预危机学生8人，处理异常事件17起；获评心理育人工作研究论坛、心理知识竞赛、心理情景剧大赛一等奖、班级心理委员标兵1人、优秀班级心理委员2人。</w:t>
            </w:r>
          </w:p>
          <w:p>
            <w:pPr>
              <w:keepNext w:val="0"/>
              <w:keepLines w:val="0"/>
              <w:pageBreakBefore w:val="0"/>
              <w:widowControl/>
              <w:kinsoku/>
              <w:wordWrap/>
              <w:overflowPunct/>
              <w:topLinePunct w:val="0"/>
              <w:autoSpaceDE/>
              <w:autoSpaceDN/>
              <w:bidi w:val="0"/>
              <w:spacing w:line="280" w:lineRule="exact"/>
              <w:ind w:firstLine="420" w:firstLineChars="200"/>
              <w:textAlignment w:val="center"/>
              <w:rPr>
                <w:rFonts w:asciiTheme="minorEastAsia" w:hAnsiTheme="minorEastAsia" w:cstheme="minorEastAsia"/>
                <w:sz w:val="21"/>
                <w:szCs w:val="21"/>
              </w:rPr>
            </w:pPr>
            <w:r>
              <w:rPr>
                <w:rFonts w:hint="eastAsia" w:asciiTheme="minorEastAsia" w:hAnsiTheme="minorEastAsia" w:cstheme="minorEastAsia"/>
                <w:sz w:val="21"/>
                <w:szCs w:val="21"/>
              </w:rPr>
              <w:t>4.获评优秀等级学生会、优秀等级研究生会；1人获安徽省“百优”大学生，1人获合肥工业大学第十三届“大学生自强之星”，1人获评合肥工业大学“校长奖”，获评最美宿舍一等奖1项；学生在文体类赛事中获国家级奖项4项、省级奖项5项，校级奖项108项，体测一等奖；</w:t>
            </w:r>
          </w:p>
          <w:p>
            <w:pPr>
              <w:keepNext w:val="0"/>
              <w:keepLines w:val="0"/>
              <w:pageBreakBefore w:val="0"/>
              <w:kinsoku/>
              <w:wordWrap/>
              <w:overflowPunct/>
              <w:topLinePunct w:val="0"/>
              <w:autoSpaceDE/>
              <w:autoSpaceDN/>
              <w:bidi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5.学工团队承担各类项目20项，投稿论文1篇，承担课程5门，1人担任年级工作组组长、1人担任新聘任辅导员导师，3人兼职咨询，获校级荣誉15项；个人获省级荣誉3项，校级荣誉14项。</w:t>
            </w:r>
          </w:p>
          <w:p>
            <w:pPr>
              <w:keepNext w:val="0"/>
              <w:keepLines w:val="0"/>
              <w:pageBreakBefore w:val="0"/>
              <w:kinsoku/>
              <w:wordWrap/>
              <w:overflowPunct/>
              <w:topLinePunct w:val="0"/>
              <w:autoSpaceDE/>
              <w:autoSpaceDN/>
              <w:bidi w:val="0"/>
              <w:spacing w:line="280" w:lineRule="exact"/>
              <w:ind w:firstLine="420" w:firstLineChars="200"/>
              <w:rPr>
                <w:rFonts w:asciiTheme="minorEastAsia" w:hAnsiTheme="minorEastAsia" w:cstheme="minorEastAsia"/>
                <w:bCs/>
                <w:sz w:val="21"/>
                <w:szCs w:val="21"/>
              </w:rPr>
            </w:pPr>
            <w:r>
              <w:rPr>
                <w:rFonts w:hint="eastAsia" w:asciiTheme="minorEastAsia" w:hAnsiTheme="minorEastAsia" w:cstheme="minorEastAsia"/>
                <w:sz w:val="21"/>
                <w:szCs w:val="21"/>
              </w:rPr>
              <w:t>七、</w:t>
            </w:r>
            <w:r>
              <w:rPr>
                <w:rFonts w:hint="eastAsia" w:asciiTheme="minorEastAsia" w:hAnsiTheme="minorEastAsia" w:cstheme="minorEastAsia"/>
                <w:bCs/>
                <w:sz w:val="21"/>
                <w:szCs w:val="21"/>
              </w:rPr>
              <w:t>国有资产管理与财务</w:t>
            </w:r>
          </w:p>
          <w:p>
            <w:pPr>
              <w:keepNext w:val="0"/>
              <w:keepLines w:val="0"/>
              <w:pageBreakBefore w:val="0"/>
              <w:kinsoku/>
              <w:wordWrap/>
              <w:overflowPunct/>
              <w:topLinePunct w:val="0"/>
              <w:autoSpaceDE/>
              <w:autoSpaceDN/>
              <w:bidi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1.规范编制和执行财务预算，厉行节约，提高资金使用效益，经费严格合规使用。</w:t>
            </w:r>
          </w:p>
          <w:p>
            <w:pPr>
              <w:keepNext w:val="0"/>
              <w:keepLines w:val="0"/>
              <w:pageBreakBefore w:val="0"/>
              <w:kinsoku/>
              <w:wordWrap/>
              <w:overflowPunct/>
              <w:topLinePunct w:val="0"/>
              <w:autoSpaceDE/>
              <w:autoSpaceDN/>
              <w:bidi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2.按规开展国有资产管理工作，新增资产登记造册，推进公房有偿使用改革。</w:t>
            </w:r>
          </w:p>
          <w:p>
            <w:pPr>
              <w:pStyle w:val="20"/>
              <w:keepNext w:val="0"/>
              <w:keepLines w:val="0"/>
              <w:pageBreakBefore w:val="0"/>
              <w:numPr>
                <w:ilvl w:val="0"/>
                <w:numId w:val="0"/>
              </w:numPr>
              <w:kinsoku/>
              <w:wordWrap/>
              <w:overflowPunct/>
              <w:topLinePunct w:val="0"/>
              <w:autoSpaceDE/>
              <w:autoSpaceDN/>
              <w:bidi w:val="0"/>
              <w:spacing w:line="280" w:lineRule="exact"/>
              <w:ind w:firstLine="422" w:firstLineChars="200"/>
              <w:rPr>
                <w:rFonts w:asciiTheme="minorEastAsia" w:hAnsiTheme="minorEastAsia" w:cstheme="minorEastAsia"/>
                <w:b/>
                <w:bCs/>
                <w:sz w:val="21"/>
                <w:szCs w:val="21"/>
              </w:rPr>
            </w:pPr>
            <w:r>
              <w:rPr>
                <w:rFonts w:hint="eastAsia" w:asciiTheme="minorEastAsia" w:hAnsiTheme="minorEastAsia" w:cstheme="minorEastAsia"/>
                <w:b/>
                <w:bCs/>
                <w:sz w:val="21"/>
                <w:szCs w:val="21"/>
                <w:lang w:eastAsia="zh-CN"/>
              </w:rPr>
              <w:t>八、</w:t>
            </w:r>
            <w:r>
              <w:rPr>
                <w:rFonts w:hint="eastAsia" w:asciiTheme="minorEastAsia" w:hAnsiTheme="minorEastAsia" w:cstheme="minorEastAsia"/>
                <w:b/>
                <w:bCs/>
                <w:sz w:val="21"/>
                <w:szCs w:val="21"/>
              </w:rPr>
              <w:t>国际化</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1.完成AACSB（国际精英商学院协会）认证现场访视工作。</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2.承办第八届国际网络空间数据科学大会（IEEE DSC），协办2023年国际产学研用会议并组织“智能互联系统与应用”分论坛。国外知名专家学者来院开展学术报告20余场。国际合作研究成果被UTD24期刊录用或发表。</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3.获批留学基金委创新型人才国际合作培养项目。14位同学获国家建设高水平大学公派研究生项目资助，40余位国际留学生在学院学习深造。</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4.完成学院英文网站建设并正式上线。</w:t>
            </w:r>
          </w:p>
          <w:p>
            <w:pPr>
              <w:pStyle w:val="20"/>
              <w:keepNext w:val="0"/>
              <w:keepLines w:val="0"/>
              <w:pageBreakBefore w:val="0"/>
              <w:numPr>
                <w:ilvl w:val="0"/>
                <w:numId w:val="0"/>
              </w:numPr>
              <w:kinsoku/>
              <w:wordWrap/>
              <w:overflowPunct/>
              <w:topLinePunct w:val="0"/>
              <w:autoSpaceDE/>
              <w:autoSpaceDN/>
              <w:bidi w:val="0"/>
              <w:spacing w:line="280" w:lineRule="exact"/>
              <w:ind w:firstLine="422" w:firstLineChars="200"/>
              <w:rPr>
                <w:rFonts w:asciiTheme="minorEastAsia" w:hAnsiTheme="minorEastAsia" w:cstheme="minorEastAsia"/>
                <w:b/>
                <w:bCs/>
                <w:sz w:val="21"/>
                <w:szCs w:val="21"/>
              </w:rPr>
            </w:pPr>
            <w:r>
              <w:rPr>
                <w:rFonts w:hint="eastAsia" w:asciiTheme="minorEastAsia" w:hAnsiTheme="minorEastAsia" w:cstheme="minorEastAsia"/>
                <w:b/>
                <w:bCs/>
                <w:sz w:val="21"/>
                <w:szCs w:val="21"/>
                <w:lang w:eastAsia="zh-CN"/>
              </w:rPr>
              <w:t>九、</w:t>
            </w:r>
            <w:r>
              <w:rPr>
                <w:rFonts w:hint="eastAsia" w:asciiTheme="minorEastAsia" w:hAnsiTheme="minorEastAsia" w:cstheme="minorEastAsia"/>
                <w:b/>
                <w:bCs/>
                <w:sz w:val="21"/>
                <w:szCs w:val="21"/>
              </w:rPr>
              <w:t>学院运行</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1.组织实验室安全准入教育学习考试。开展安全卫生大检查4次，不定期巡查重点部位。</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2.接待清华大学、北京大学、华南理工大学等50多所兄弟院校调研交流。</w:t>
            </w:r>
          </w:p>
          <w:p>
            <w:pPr>
              <w:keepNext w:val="0"/>
              <w:keepLines w:val="0"/>
              <w:pageBreakBefore w:val="0"/>
              <w:kinsoku/>
              <w:wordWrap/>
              <w:overflowPunct/>
              <w:topLinePunct w:val="0"/>
              <w:autoSpaceDE/>
              <w:autoSpaceDN/>
              <w:bidi w:val="0"/>
              <w:adjustRightInd w:val="0"/>
              <w:snapToGrid w:val="0"/>
              <w:spacing w:line="28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3.完成20余次各类会议的组织保障工作，各楼层学术文化交流区布置齐备。</w:t>
            </w:r>
          </w:p>
        </w:tc>
      </w:tr>
    </w:tbl>
    <w:p>
      <w:pPr>
        <w:rPr>
          <w:rFonts w:asciiTheme="minorEastAsia" w:hAnsiTheme="minorEastAsia" w:cstheme="minorEastAsia"/>
        </w:rPr>
      </w:pPr>
      <w:r>
        <w:rPr>
          <w:rFonts w:hint="eastAsia" w:asciiTheme="minorEastAsia" w:hAnsiTheme="minorEastAsia" w:cstheme="minorEastAsia"/>
        </w:rPr>
        <w:br w:type="page"/>
      </w:r>
    </w:p>
    <w:p>
      <w:pPr>
        <w:pStyle w:val="4"/>
        <w:spacing w:line="579" w:lineRule="auto"/>
        <w:rPr>
          <w:rFonts w:asciiTheme="majorEastAsia" w:hAnsiTheme="majorEastAsia" w:cstheme="majorEastAsia"/>
          <w:sz w:val="30"/>
          <w:szCs w:val="30"/>
          <w:shd w:val="clear" w:color="auto" w:fill="FFFFFF"/>
        </w:rPr>
      </w:pPr>
      <w:bookmarkStart w:id="19" w:name="_Toc32173"/>
      <w:r>
        <w:rPr>
          <w:rFonts w:hint="eastAsia" w:asciiTheme="majorEastAsia" w:hAnsiTheme="majorEastAsia" w:cstheme="majorEastAsia"/>
          <w:sz w:val="30"/>
          <w:szCs w:val="30"/>
        </w:rPr>
        <w:t>仪器科学与光电工程学院</w:t>
      </w:r>
      <w:r>
        <w:rPr>
          <w:rFonts w:hint="eastAsia" w:asciiTheme="majorEastAsia" w:hAnsiTheme="majorEastAsia" w:cstheme="majorEastAsia"/>
          <w:sz w:val="30"/>
          <w:szCs w:val="30"/>
          <w:shd w:val="clear" w:color="auto" w:fill="FFFFFF"/>
        </w:rPr>
        <w:t>2023年度业绩简表</w:t>
      </w:r>
      <w:bookmarkEnd w:id="19"/>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7"/>
        <w:gridCol w:w="3471"/>
        <w:gridCol w:w="1701"/>
        <w:gridCol w:w="1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7" w:type="dxa"/>
            <w:vAlign w:val="center"/>
          </w:tcPr>
          <w:p>
            <w:pPr>
              <w:jc w:val="center"/>
              <w:rPr>
                <w:rFonts w:ascii="仿宋" w:hAnsi="仿宋" w:eastAsia="仿宋"/>
                <w:b/>
                <w:sz w:val="24"/>
                <w:szCs w:val="21"/>
              </w:rPr>
            </w:pPr>
            <w:r>
              <w:rPr>
                <w:rFonts w:hint="eastAsia" w:ascii="仿宋" w:hAnsi="仿宋" w:eastAsia="仿宋"/>
                <w:b/>
                <w:sz w:val="24"/>
                <w:szCs w:val="21"/>
              </w:rPr>
              <w:t>单位名称</w:t>
            </w:r>
          </w:p>
        </w:tc>
        <w:tc>
          <w:tcPr>
            <w:tcW w:w="3471" w:type="dxa"/>
            <w:vAlign w:val="center"/>
          </w:tcPr>
          <w:p>
            <w:pPr>
              <w:rPr>
                <w:rFonts w:ascii="仿宋" w:hAnsi="仿宋" w:eastAsia="仿宋"/>
                <w:b/>
                <w:sz w:val="24"/>
                <w:szCs w:val="21"/>
              </w:rPr>
            </w:pPr>
            <w:r>
              <w:rPr>
                <w:rFonts w:hint="eastAsia" w:ascii="仿宋" w:hAnsi="仿宋" w:eastAsia="仿宋"/>
                <w:b/>
                <w:sz w:val="24"/>
                <w:szCs w:val="21"/>
              </w:rPr>
              <w:t>仪器科学与光电工程学院</w:t>
            </w:r>
          </w:p>
        </w:tc>
        <w:tc>
          <w:tcPr>
            <w:tcW w:w="1701" w:type="dxa"/>
            <w:vAlign w:val="center"/>
          </w:tcPr>
          <w:p>
            <w:pPr>
              <w:jc w:val="center"/>
              <w:rPr>
                <w:rFonts w:ascii="仿宋" w:hAnsi="仿宋" w:eastAsia="仿宋"/>
                <w:b/>
                <w:sz w:val="24"/>
                <w:szCs w:val="21"/>
              </w:rPr>
            </w:pPr>
            <w:r>
              <w:rPr>
                <w:rFonts w:hint="eastAsia" w:ascii="仿宋" w:hAnsi="仿宋" w:eastAsia="仿宋"/>
                <w:b/>
                <w:sz w:val="24"/>
                <w:szCs w:val="21"/>
              </w:rPr>
              <w:t>单位职工数</w:t>
            </w:r>
          </w:p>
        </w:tc>
        <w:tc>
          <w:tcPr>
            <w:tcW w:w="1497" w:type="dxa"/>
            <w:vAlign w:val="center"/>
          </w:tcPr>
          <w:p>
            <w:pPr>
              <w:jc w:val="center"/>
              <w:rPr>
                <w:rFonts w:ascii="仿宋" w:hAnsi="仿宋" w:eastAsia="仿宋"/>
                <w:b/>
                <w:sz w:val="24"/>
                <w:szCs w:val="21"/>
              </w:rPr>
            </w:pPr>
            <w:r>
              <w:rPr>
                <w:rFonts w:hint="eastAsia" w:ascii="仿宋" w:hAnsi="仿宋" w:eastAsia="仿宋"/>
                <w:b/>
                <w:sz w:val="24"/>
                <w:szCs w:val="21"/>
              </w:rPr>
              <w:t>1</w:t>
            </w:r>
            <w:r>
              <w:rPr>
                <w:rFonts w:ascii="仿宋" w:hAnsi="仿宋" w:eastAsia="仿宋"/>
                <w:b/>
                <w:sz w:val="24"/>
                <w:szCs w:val="21"/>
              </w:rPr>
              <w:t>24</w:t>
            </w:r>
            <w:r>
              <w:rPr>
                <w:rFonts w:hint="eastAsia" w:ascii="仿宋" w:hAnsi="仿宋" w:eastAsia="仿宋"/>
                <w:b/>
                <w:sz w:val="24"/>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296" w:type="dxa"/>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422" w:firstLineChars="200"/>
              <w:textAlignment w:val="auto"/>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一、党建和思想政治工作</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1</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主题教育。党员领导干部讲党课22次。梳理“重点任务”21项，召开工作推进会5次，完成调研报告7个。组织开展实践活动10余次，师生党员做实事好事401件，完成率为100%。形成长效机制，制定出台规章制度6项。</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2</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组织建设。获批“安徽省党建样板支部”和校级“双带头人”教师党支部书记工</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作室各1个，“研究生党员标兵”1人，形成国家、省及校三级党建“双创”体系。打造“费业泰师生交流平台”、“一新热线”、“校企党建联盟”党建品牌。完成党员发展任务，保持高层次人才发展工作“不断线”。</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3</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宣传思想工作。严格执行《仪器科学与光电工程学院贯彻落实党委意识形态工作责任制实施办法》，定期组织意识形态领域专题学习。</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4</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党风廉政和师德师风建设。制定改进学院工作作风的《学院作风建设七条》，规范人才工作的《学院人才工作十条》，提升机关工作效能，制定《加强学院二级单位（专业系）工作的八条意见》，建立学院月度工作调度会制度。建设学院师德学习园地：“沿着费业泰教授的足迹”。</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5</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统战和离退休工作。制定《仪器科学与光电工程学院落实校党委加强统战工作的具体举措》，落实定点联系制度。民革工大主委夏豪杰《大力发展高端仪器仪表产业，加快打造制造强省》提案选为安徽省政协大会发言，得到省主要领导批示。学院退休教师刘文文教授再次入选教育部“高校银龄教师支援西部计划”。</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6</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工会和定点帮扶工作。赴六安市金安区马头镇崔店村开展调研交流，为利辛陈营村陈郢庄五保户修建入户巷道。与利辛机电科技学校签订《仪器科学与光电工程学院与利辛机电科技学校帮扶协议书》，选派教师开展课程讲座。</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2" w:firstLineChars="200"/>
              <w:textAlignment w:val="auto"/>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t>二、教学工作</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1</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参与获批国家教学成果二等奖1项；主持申报省级教学成果特奖、一等奖各1项。</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2</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获批国家一流课程“三坐标测量机虚拟仿真实验”，组织申报国家级一流课程2项。</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3</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校企合作人才培养：美国泰瑞达、悦芯半导体、海克斯康三公司捐赠超1300万元仪器用于校企合作新工科双语课程“集成电路测试技术”实验条件建设。</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4</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完成并提交国家级一流专业“光电信息科学与工程”工程专业认证自评报告。</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5</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作为主编单位完成了“十四五”国家级规划教材《检测技术》新版教材的编写。</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6</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大学生创新创业大赛获国家级奖项15项，省部级奖项84项目，其中获第七届中国（国际）传感器创新创业大赛特等奖1项（全国仅2项）；主办了校大学生科技制作大赛、学院智能车竞赛、安徽省光电设计大赛、蓝桥杯电子设计大赛等赛事。</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7</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协办了全国仪器科学与技术博士生论坛；3人获得全国仪器仪表奖学金；建设校企研究生联合培养基地4个。</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2" w:firstLineChars="200"/>
              <w:textAlignment w:val="auto"/>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t>三、科研工作</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1</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获批国家重点研发计划6项，其中牵头2项、参4项；主持安徽省科技重大专项2项；重大重点项目获批数创新高。</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2</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新增纵向项目46项（国家级20项）、横向项目38项；获批国家基金项目9项，其中面上4项，青年基金5项，青年项目资助率50%，列全校前列。</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3</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科研合同经费7047万元，人均70万元；到账总经费4424万元，其中纵向经费2904万元，横向经费1520万元，横向经费比去年增长了75%；经费总数创学院新高。</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4</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发表高水平学术论文180余篇，其中一、二区论文60篇，高被引论文5篇，论文数量与质量创历史新高。授权发明专利55项，申请154项。</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5</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获仪器仪表学会科技进步奖二等奖1项，安徽省科学技术奖二等奖1项。</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2" w:firstLineChars="200"/>
              <w:textAlignment w:val="auto"/>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t>四、学科建设与研究生工作</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1</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获批“安徽省半导体制造检测技术与仪器工程研究中心”（全校3个）；</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2</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获批首批“安徽省产业创新研究院”平台2个（全省9个）；</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3</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“测量理论和精密仪器”安徽省重点实验室考评省优并成功进行了重组；</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4</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主办第十一届国际精密机械测量研讨会；主办首届安徽省高端仪器仪表产业峰会；</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5</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谋划国家级平台建设1项。</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2" w:firstLineChars="200"/>
              <w:textAlignment w:val="auto"/>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t>五、人才与师资工作</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1</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柔性引进院士1人；优青1人；引进科研团队1个；引进黄山学者青年骨干1人；青年教师4人；</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2</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 xml:space="preserve">青年教师刘羽入选2023年度“全球高被引科学家”名单（我校入选者2名）； </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3</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获中国仪器仪表学会青年学子奖学金1项（全国11人）。</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2" w:firstLineChars="200"/>
              <w:textAlignment w:val="auto"/>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t>六、学生工作与共青团工作</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1</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被评为年度学生工作先进单位。学生获奖：“一二.九”朗诵艺术节、少数民族学生主题展演、校大学生职业规划大赛获一等奖；其他学生集体活动获奖8项；学生个人获奖345人次。</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2</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围绕学习党的二十大精神、爱国荣校、国防教育等主题开展主题班会55场，小班辅导66场，承办校学业规划大赛、国旗下的思政课3场，打造“瞩目二十大·精英青年说”品牌学习活动。</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3</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全年发放奖助学金165.05万元，共计666人次，家庭经济困难学生资助率100%；学院新增社会捐资奖学金1项，金额50万元。</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4</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全院学生心理普测率100%；心理健康教育活动47场次，受益学生1901人次，覆盖面100%；开展谈心谈话累计925人次；建立心理成长档案309份；成功干预危机事件5例。</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5</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2023届学生就业率：研究生100%，本科生97.46%，全校第4；升学率逐年攀升，2022届达46.01%，全校第2。</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6</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学工队伍获奖：“读懂中国”“学业规划大赛”“最美宿舍”评选获优秀组织奖3项；学生工作研究项目省级1项，校级12项，结项11项；其他校级及以上奖项10人次。</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2" w:firstLineChars="200"/>
              <w:textAlignment w:val="auto"/>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t>七、国有资产管理与财务</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严格遵守国家财经法规、学校财务与资产管理制度，合理使用各类经费，严格遵守“三重一大”制度，做好经费预算编制与执行工作。</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2" w:firstLineChars="200"/>
              <w:textAlignment w:val="auto"/>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t>八、国际化</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1</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全职引进外籍教师1名，组织编写英文专著1本；</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2</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2名教师到英国诺丁汉、新加坡南洋理工大学访学；1名教师到英国、德国、俄罗斯学术交流；邀请美国、英国、德国、新加坡、俄罗斯学者到校或者线上学术交流；</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3</w:t>
            </w:r>
            <w:r>
              <w:rPr>
                <w:rFonts w:hint="eastAsia" w:asciiTheme="minorEastAsia" w:hAnsiTheme="minorEastAsia" w:cstheme="minorEastAsia"/>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俄罗斯11名在读本科生到院交流。</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2" w:firstLineChars="200"/>
              <w:textAlignment w:val="auto"/>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val="0"/>
                <w:color w:val="000000" w:themeColor="text1"/>
                <w:sz w:val="21"/>
                <w:szCs w:val="21"/>
                <w14:textFill>
                  <w14:solidFill>
                    <w14:schemeClr w14:val="tx1"/>
                  </w14:solidFill>
                </w14:textFill>
              </w:rPr>
              <w:t>九、学院运行</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textAlignment w:val="auto"/>
              <w:rPr>
                <w:rFonts w:ascii="宋体" w:hAnsi="宋体" w:eastAsia="宋体" w:cs="Times New Roman"/>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执行学校布置的各项工作，落实依法治校工作，加强学院制度建设，综合管理确保政令畅通、令行禁止，日常管理精细规范，建立健全安全稳定的工作机制、预案措施，防止突发与安全事故发生，本年度无负面清单事件发生。</w:t>
            </w:r>
          </w:p>
        </w:tc>
      </w:tr>
    </w:tbl>
    <w:p>
      <w:pPr>
        <w:jc w:val="left"/>
        <w:rPr>
          <w:sz w:val="18"/>
          <w:szCs w:val="18"/>
        </w:rPr>
      </w:pPr>
    </w:p>
    <w:p>
      <w:pPr>
        <w:pStyle w:val="4"/>
        <w:spacing w:line="579" w:lineRule="auto"/>
        <w:rPr>
          <w:rFonts w:asciiTheme="majorEastAsia" w:hAnsiTheme="majorEastAsia" w:cstheme="majorEastAsia"/>
          <w:sz w:val="30"/>
          <w:szCs w:val="30"/>
          <w:shd w:val="clear" w:color="auto" w:fill="FFFFFF"/>
        </w:rPr>
      </w:pPr>
      <w:r>
        <w:br w:type="page"/>
      </w:r>
      <w:bookmarkStart w:id="20" w:name="_Toc2849"/>
      <w:r>
        <w:rPr>
          <w:rFonts w:hint="eastAsia" w:asciiTheme="majorEastAsia" w:hAnsiTheme="majorEastAsia" w:cstheme="majorEastAsia"/>
          <w:sz w:val="30"/>
          <w:szCs w:val="30"/>
          <w:lang w:eastAsia="zh-CN"/>
        </w:rPr>
        <w:t>建筑与艺术</w:t>
      </w:r>
      <w:r>
        <w:rPr>
          <w:rFonts w:hint="eastAsia" w:asciiTheme="majorEastAsia" w:hAnsiTheme="majorEastAsia" w:cstheme="majorEastAsia"/>
          <w:sz w:val="30"/>
          <w:szCs w:val="30"/>
        </w:rPr>
        <w:t>学院</w:t>
      </w:r>
      <w:r>
        <w:rPr>
          <w:rFonts w:hint="eastAsia" w:asciiTheme="majorEastAsia" w:hAnsiTheme="majorEastAsia" w:cstheme="majorEastAsia"/>
          <w:sz w:val="30"/>
          <w:szCs w:val="30"/>
          <w:shd w:val="clear" w:color="auto" w:fill="FFFFFF"/>
        </w:rPr>
        <w:t>2023年度业绩简表</w:t>
      </w:r>
      <w:bookmarkEnd w:id="20"/>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sz w:val="24"/>
                <w:szCs w:val="21"/>
              </w:rPr>
            </w:pPr>
            <w:r>
              <w:rPr>
                <w:rFonts w:hint="eastAsia" w:ascii="仿宋" w:hAnsi="仿宋" w:eastAsia="仿宋"/>
                <w:b/>
                <w:sz w:val="24"/>
                <w:szCs w:val="21"/>
              </w:rPr>
              <w:t>单位名称</w:t>
            </w:r>
          </w:p>
        </w:tc>
        <w:tc>
          <w:tcPr>
            <w:tcW w:w="2976" w:type="dxa"/>
            <w:vAlign w:val="center"/>
          </w:tcPr>
          <w:p>
            <w:pPr>
              <w:jc w:val="center"/>
              <w:rPr>
                <w:rFonts w:ascii="仿宋" w:hAnsi="仿宋" w:eastAsia="仿宋"/>
                <w:b/>
                <w:sz w:val="24"/>
                <w:szCs w:val="21"/>
              </w:rPr>
            </w:pPr>
            <w:r>
              <w:rPr>
                <w:rFonts w:hint="eastAsia" w:ascii="仿宋" w:hAnsi="仿宋" w:eastAsia="仿宋"/>
                <w:b/>
                <w:sz w:val="24"/>
                <w:szCs w:val="21"/>
              </w:rPr>
              <w:t>建筑与艺术学院</w:t>
            </w:r>
          </w:p>
        </w:tc>
        <w:tc>
          <w:tcPr>
            <w:tcW w:w="1747" w:type="dxa"/>
            <w:vAlign w:val="center"/>
          </w:tcPr>
          <w:p>
            <w:pPr>
              <w:jc w:val="center"/>
              <w:rPr>
                <w:rFonts w:ascii="仿宋" w:hAnsi="仿宋" w:eastAsia="仿宋"/>
                <w:b/>
                <w:sz w:val="24"/>
                <w:szCs w:val="21"/>
              </w:rPr>
            </w:pPr>
            <w:r>
              <w:rPr>
                <w:rFonts w:hint="eastAsia" w:ascii="仿宋" w:hAnsi="仿宋" w:eastAsia="仿宋"/>
                <w:b/>
                <w:sz w:val="24"/>
                <w:szCs w:val="21"/>
              </w:rPr>
              <w:t>单位职工数</w:t>
            </w:r>
          </w:p>
        </w:tc>
        <w:tc>
          <w:tcPr>
            <w:tcW w:w="2131" w:type="dxa"/>
            <w:vAlign w:val="center"/>
          </w:tcPr>
          <w:p>
            <w:pPr>
              <w:jc w:val="center"/>
              <w:rPr>
                <w:rFonts w:ascii="仿宋" w:hAnsi="仿宋" w:eastAsia="仿宋"/>
                <w:b/>
                <w:sz w:val="24"/>
                <w:szCs w:val="21"/>
              </w:rPr>
            </w:pPr>
            <w:r>
              <w:rPr>
                <w:rFonts w:hint="eastAsia" w:ascii="仿宋" w:hAnsi="仿宋" w:eastAsia="仿宋"/>
                <w:b/>
                <w:sz w:val="24"/>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keepNext w:val="0"/>
              <w:keepLines w:val="0"/>
              <w:pageBreakBefore w:val="0"/>
              <w:widowControl w:val="0"/>
              <w:kinsoku/>
              <w:wordWrap/>
              <w:overflowPunct/>
              <w:topLinePunct w:val="0"/>
              <w:autoSpaceDE/>
              <w:autoSpaceDN/>
              <w:bidi w:val="0"/>
              <w:adjustRightInd/>
              <w:snapToGrid/>
              <w:spacing w:line="340" w:lineRule="exact"/>
              <w:ind w:firstLine="482" w:firstLineChars="200"/>
              <w:textAlignment w:val="auto"/>
              <w:rPr>
                <w:rFonts w:hint="eastAsia" w:asciiTheme="minorEastAsia" w:hAnsiTheme="minorEastAsia" w:eastAsiaTheme="minorEastAsia" w:cstheme="minorEastAsia"/>
                <w:b/>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b/>
                <w:color w:val="000000" w:themeColor="text1"/>
                <w:kern w:val="0"/>
                <w:sz w:val="24"/>
                <w:szCs w:val="24"/>
                <w:lang w:bidi="ar"/>
                <w14:textFill>
                  <w14:solidFill>
                    <w14:schemeClr w14:val="tx1"/>
                  </w14:solidFill>
                </w14:textFill>
              </w:rPr>
              <w:t>一、党建工作和思想政治工作</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bCs/>
                <w:kern w:val="0"/>
                <w:sz w:val="24"/>
                <w:szCs w:val="24"/>
                <w:lang w:bidi="ar"/>
              </w:rPr>
            </w:pPr>
            <w:r>
              <w:rPr>
                <w:rFonts w:hint="eastAsia" w:asciiTheme="minorEastAsia" w:hAnsiTheme="minorEastAsia" w:eastAsiaTheme="minorEastAsia" w:cstheme="minorEastAsia"/>
                <w:bCs/>
                <w:kern w:val="0"/>
                <w:sz w:val="24"/>
                <w:szCs w:val="24"/>
                <w:lang w:bidi="ar"/>
              </w:rPr>
              <w:t>坚决贯彻落实党中央和上级党组织的各项决策部署，坚定捍卫“两个确立”，坚决做到“两个维护”。强化理论学习，扎实开展主题教育；完善制度建设，制定《建筑与艺术学院艺术作品发布审核管理办法》等近十项；党支部标准化建设持续推进，研究生第一党支部获批省级样板党支部培育立项，工业设计系教师党支部阳巧工作室获批校级“双带头人”教师党支部书记工作室培育创建；强化宣传阵地，完成英文网站建设；组织参加长三角设计学科党建高校联盟年会并获得下一年度承办权，《设计的力量——全国高校设计赋能乡村振兴创新案例》在中国高等教育博览会上发布并收录于“学习强国”。</w:t>
            </w:r>
          </w:p>
          <w:p>
            <w:pPr>
              <w:keepNext w:val="0"/>
              <w:keepLines w:val="0"/>
              <w:pageBreakBefore w:val="0"/>
              <w:widowControl w:val="0"/>
              <w:kinsoku/>
              <w:wordWrap/>
              <w:overflowPunct/>
              <w:topLinePunct w:val="0"/>
              <w:autoSpaceDE/>
              <w:autoSpaceDN/>
              <w:bidi w:val="0"/>
              <w:adjustRightInd/>
              <w:snapToGrid/>
              <w:spacing w:line="340" w:lineRule="exact"/>
              <w:ind w:firstLine="482" w:firstLineChars="200"/>
              <w:textAlignment w:val="auto"/>
              <w:rPr>
                <w:rFonts w:hint="eastAsia" w:asciiTheme="minorEastAsia" w:hAnsiTheme="minorEastAsia" w:eastAsiaTheme="minorEastAsia" w:cstheme="minorEastAsia"/>
                <w:b/>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b/>
                <w:color w:val="000000" w:themeColor="text1"/>
                <w:kern w:val="0"/>
                <w:sz w:val="24"/>
                <w:szCs w:val="24"/>
                <w:lang w:bidi="ar"/>
                <w14:textFill>
                  <w14:solidFill>
                    <w14:schemeClr w14:val="tx1"/>
                  </w14:solidFill>
                </w14:textFill>
              </w:rPr>
              <w:t>二、教学工作</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筑学（本、硕）专业以“优秀”等级通过全国专业评估，获批国家级一流本科课程1项，获得全国教学创新大赛国赛一等奖2项，1人获校级教学基本功比赛二等奖，成功承办未来设计师、米兰设计周等排行榜赛事。建立全方位的教学质量监控体系，全年无教学事故；完成教材排查和申报审查；负责招生的甘肃省创报考位次历史新高，较去年合肥校区提高5千多位次，宣城校区提高近2千位次，被授予校优秀招生宣传工作组。完成2023版本科人才培养方案制定、转专业相关方案修订等，本科教育拟推荐7项省级质量工程，校级立项1项。学生获省部级及以上奖项共计800余项，共1400多人次，其中国际及国家级获奖近200项。2023届本科毕业生被211以上高校录取68人，占比25.66%；赴境外深造11人，占比4.15%。</w:t>
            </w:r>
          </w:p>
          <w:p>
            <w:pPr>
              <w:keepNext w:val="0"/>
              <w:keepLines w:val="0"/>
              <w:pageBreakBefore w:val="0"/>
              <w:widowControl w:val="0"/>
              <w:kinsoku/>
              <w:wordWrap/>
              <w:overflowPunct/>
              <w:topLinePunct w:val="0"/>
              <w:autoSpaceDE/>
              <w:autoSpaceDN/>
              <w:bidi w:val="0"/>
              <w:adjustRightInd/>
              <w:snapToGrid/>
              <w:spacing w:line="340" w:lineRule="exact"/>
              <w:ind w:firstLine="482" w:firstLineChars="200"/>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三、科研工作</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院徽派建筑数字化保护成果得到省委书记的重要批示；安徽日报专版报道学院在徽州古村落方面的研究成果；获批徽州古村落数字化保护与传承创意安徽省重点实验室、安徽省徽派建筑研究院、安徽省城市风貌与空间环境更新技术工程研究中心共3个省级科研平台，实现学院省部级科研平台零的突破。首次主持获批安徽省重点研究与开发计划项目；获批教育部人文社会科学研究项目4项，排全校第一；获批安徽省哲学社会科学规划项目5项，保持历史最好成绩；首次获批安徽省自然科学基金面上项目和合肥市自然科学基金项目。纵横向课题到账经费共1303万元，为上一年度的2.2倍，创学院历史最高。师生发表高水平学术论文200余篇，申请专利15项，数量上均比上一年度明显提升。</w:t>
            </w:r>
          </w:p>
          <w:p>
            <w:pPr>
              <w:keepNext w:val="0"/>
              <w:keepLines w:val="0"/>
              <w:pageBreakBefore w:val="0"/>
              <w:widowControl w:val="0"/>
              <w:kinsoku/>
              <w:wordWrap/>
              <w:overflowPunct/>
              <w:topLinePunct w:val="0"/>
              <w:autoSpaceDE/>
              <w:autoSpaceDN/>
              <w:bidi w:val="0"/>
              <w:adjustRightInd/>
              <w:snapToGrid/>
              <w:spacing w:line="340" w:lineRule="exact"/>
              <w:ind w:firstLine="482" w:firstLineChars="200"/>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四、学科建设和研究生工作</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成功获批建筑学博士后科研流动站；成功举办世界华人建筑师协会2023年年会暨“建筑学的未来”学术论坛、“弘扬徽文化，创造新徽派”徽州古村落传承创意成果展等学术会议、展览活动30余场。研究生招生质量稳步提升，招收硕士170人，双一流生源达20%以上，接收推免生31人。新增行业导师11人，与12个研究生联合培养基地深化合作，促进产教融合。硕士毕业论文的优良率94.3%。</w:t>
            </w:r>
          </w:p>
          <w:p>
            <w:pPr>
              <w:keepNext w:val="0"/>
              <w:keepLines w:val="0"/>
              <w:pageBreakBefore w:val="0"/>
              <w:widowControl w:val="0"/>
              <w:kinsoku/>
              <w:wordWrap/>
              <w:overflowPunct/>
              <w:topLinePunct w:val="0"/>
              <w:autoSpaceDE/>
              <w:autoSpaceDN/>
              <w:bidi w:val="0"/>
              <w:adjustRightInd/>
              <w:snapToGrid/>
              <w:spacing w:line="340" w:lineRule="exact"/>
              <w:ind w:firstLine="482" w:firstLineChars="200"/>
              <w:textAlignment w:val="auto"/>
              <w:rPr>
                <w:rFonts w:hint="eastAsia" w:asciiTheme="minorEastAsia" w:hAnsiTheme="minorEastAsia" w:eastAsiaTheme="minorEastAsia" w:cstheme="minorEastAsia"/>
                <w:b/>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b/>
                <w:color w:val="000000" w:themeColor="text1"/>
                <w:kern w:val="0"/>
                <w:sz w:val="24"/>
                <w:szCs w:val="24"/>
                <w:lang w:bidi="ar"/>
                <w14:textFill>
                  <w14:solidFill>
                    <w14:schemeClr w14:val="tx1"/>
                  </w14:solidFill>
                </w14:textFill>
              </w:rPr>
              <w:t>五、人才与师资工作</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高标准制定《学院师资队伍建设计划2023-2025》；共引进特聘教授1人，黄山学者“学术骨干”1人，青年教师3人；聘校外行业导师85人、兼职导师1人；高度重视年轻教师的成长，积极探索年轻教师的培养机制，1人入选安徽省青年拔尖人才工程；组织各专业骨干教师参加全国重要学术会议及教学研讨60余次。</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学生工作与共青团工作</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打造“红色引领，徽色筑梦”特色文化育人体系，相关成果获学校推荐参评安徽省教学成果一等奖；丰富思政教育载体，举办“徽风皖韵”建造节、博物馆里的思政课、非遗进校园等品牌活动；学生文体素质进一步提升，在省大学生艺术展演中，在舞蹈集体、书法篆刻、摄影、设计等类别中获奖9项，其中一等奖2项；成功干预心理危机9起，全年无安全责任事故；高质量就业成效明显，2人参军入伍、6人入选基层就业项目。</w:t>
            </w:r>
          </w:p>
          <w:p>
            <w:pPr>
              <w:keepNext w:val="0"/>
              <w:keepLines w:val="0"/>
              <w:pageBreakBefore w:val="0"/>
              <w:widowControl w:val="0"/>
              <w:kinsoku/>
              <w:wordWrap/>
              <w:overflowPunct/>
              <w:topLinePunct w:val="0"/>
              <w:autoSpaceDE/>
              <w:autoSpaceDN/>
              <w:bidi w:val="0"/>
              <w:adjustRightInd/>
              <w:snapToGrid/>
              <w:spacing w:line="3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七、国有资产管理与财务</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规范国有资产配置、登记、使用、变动和处置等情况，年度资产盘点账物相符率100%，未出现国有资产管理和使用混乱问题。制定实验仪器设备开放共享制度，通过信息化手段辅助，提高仪器设备使用效率。学院行政经费使用执行严格审批制度，分管领导进行合规性审查后使用，未出现经费使用问题。本年度捐赠收入近30万元。</w:t>
            </w:r>
          </w:p>
          <w:p>
            <w:pPr>
              <w:keepNext w:val="0"/>
              <w:keepLines w:val="0"/>
              <w:pageBreakBefore w:val="0"/>
              <w:widowControl w:val="0"/>
              <w:kinsoku/>
              <w:wordWrap/>
              <w:overflowPunct/>
              <w:topLinePunct w:val="0"/>
              <w:autoSpaceDE/>
              <w:autoSpaceDN/>
              <w:bidi w:val="0"/>
              <w:adjustRightInd/>
              <w:snapToGrid/>
              <w:spacing w:line="3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八、教育对外开放</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继续开展与英国卡迪夫大学的“1＋2”双硕士联合培养项目；台湾籍和香港籍教职工各1名，占教职工总人数的1%。台湾地区交换生1名。现有2名海外特聘教授，1位教师批准赴国外访学。与意大利比萨大学洽谈工业设计专业合作办学事宜，并初步达成合作意向。</w:t>
            </w:r>
          </w:p>
          <w:p>
            <w:pPr>
              <w:keepNext w:val="0"/>
              <w:keepLines w:val="0"/>
              <w:pageBreakBefore w:val="0"/>
              <w:widowControl w:val="0"/>
              <w:kinsoku/>
              <w:wordWrap/>
              <w:overflowPunct/>
              <w:topLinePunct w:val="0"/>
              <w:autoSpaceDE/>
              <w:autoSpaceDN/>
              <w:bidi w:val="0"/>
              <w:adjustRightInd/>
              <w:snapToGrid/>
              <w:spacing w:line="3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九、学院运行</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宋体" w:hAnsi="宋体" w:eastAsia="宋体" w:cs="宋体"/>
                <w:sz w:val="24"/>
                <w:szCs w:val="24"/>
              </w:rPr>
            </w:pPr>
            <w:r>
              <w:rPr>
                <w:rFonts w:hint="eastAsia" w:asciiTheme="minorEastAsia" w:hAnsiTheme="minorEastAsia" w:eastAsiaTheme="minorEastAsia" w:cstheme="minorEastAsia"/>
                <w:sz w:val="24"/>
                <w:szCs w:val="24"/>
              </w:rPr>
              <w:t>全力保障学校和学院重要工作和重大活动的顺利开展，高效完成全年接待任务40余场；牢固树立过“紧日子”思想，精细化管理学院物资；持续改善院馆办公条件，加大环境卫生、绿植美化、灯光照明整治，定期进行巡楼检查；完善学院工作例会办法、用章审批流程、车辆管理流程、会议室使用流程等，保障了各项业务有序高效运转。</w:t>
            </w:r>
          </w:p>
        </w:tc>
      </w:tr>
    </w:tbl>
    <w:p>
      <w:r>
        <w:br w:type="page"/>
      </w:r>
    </w:p>
    <w:p>
      <w:pPr>
        <w:pStyle w:val="4"/>
        <w:spacing w:line="579" w:lineRule="auto"/>
        <w:rPr>
          <w:rFonts w:asciiTheme="majorEastAsia" w:hAnsiTheme="majorEastAsia" w:cstheme="majorEastAsia"/>
          <w:sz w:val="30"/>
          <w:szCs w:val="30"/>
          <w:shd w:val="clear" w:color="auto" w:fill="FFFFFF"/>
        </w:rPr>
      </w:pPr>
      <w:bookmarkStart w:id="21" w:name="_Toc17676"/>
      <w:r>
        <w:rPr>
          <w:rFonts w:hint="eastAsia" w:asciiTheme="majorEastAsia" w:hAnsiTheme="majorEastAsia" w:cstheme="majorEastAsia"/>
          <w:sz w:val="30"/>
          <w:szCs w:val="30"/>
        </w:rPr>
        <w:t>资源与环境工程学院</w:t>
      </w:r>
      <w:r>
        <w:rPr>
          <w:rFonts w:hint="eastAsia" w:asciiTheme="majorEastAsia" w:hAnsiTheme="majorEastAsia" w:cstheme="majorEastAsia"/>
          <w:sz w:val="30"/>
          <w:szCs w:val="30"/>
          <w:shd w:val="clear" w:color="auto" w:fill="FFFFFF"/>
        </w:rPr>
        <w:t>2023年度业绩简表</w:t>
      </w:r>
      <w:bookmarkEnd w:id="21"/>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单位名称</w:t>
            </w:r>
          </w:p>
        </w:tc>
        <w:tc>
          <w:tcPr>
            <w:tcW w:w="2976" w:type="dxa"/>
            <w:vAlign w:val="center"/>
          </w:tcPr>
          <w:p>
            <w:pPr>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资源与环境工程学院</w:t>
            </w:r>
          </w:p>
        </w:tc>
        <w:tc>
          <w:tcPr>
            <w:tcW w:w="1747" w:type="dxa"/>
            <w:vAlign w:val="center"/>
          </w:tcPr>
          <w:p>
            <w:pPr>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单位职工数</w:t>
            </w:r>
          </w:p>
        </w:tc>
        <w:tc>
          <w:tcPr>
            <w:tcW w:w="2131" w:type="dxa"/>
            <w:vAlign w:val="center"/>
          </w:tcPr>
          <w:p>
            <w:pPr>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pStyle w:val="20"/>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jc w:val="left"/>
              <w:textAlignment w:val="auto"/>
              <w:rPr>
                <w:rFonts w:asciiTheme="minorEastAsia" w:hAnsiTheme="minorEastAsia" w:cstheme="minorEastAsia"/>
                <w:b/>
                <w:bCs/>
                <w:sz w:val="24"/>
                <w:szCs w:val="24"/>
              </w:rPr>
            </w:pPr>
            <w:r>
              <w:rPr>
                <w:rFonts w:hint="eastAsia" w:cs="仿宋" w:asciiTheme="minorEastAsia" w:hAnsiTheme="minorEastAsia"/>
                <w:b/>
                <w:bCs/>
                <w:sz w:val="24"/>
                <w:szCs w:val="24"/>
              </w:rPr>
              <w:t>一、</w:t>
            </w:r>
            <w:r>
              <w:rPr>
                <w:rFonts w:hint="eastAsia" w:asciiTheme="minorEastAsia" w:hAnsiTheme="minorEastAsia" w:cstheme="minorEastAsia"/>
                <w:b/>
                <w:bCs/>
                <w:sz w:val="24"/>
                <w:szCs w:val="24"/>
              </w:rPr>
              <w:t>党建与思想政治等相关工作</w:t>
            </w:r>
          </w:p>
          <w:p>
            <w:pPr>
              <w:pStyle w:val="20"/>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rPr>
                <w:rFonts w:asciiTheme="minorEastAsia" w:hAnsiTheme="minorEastAsia" w:cstheme="minorEastAsia"/>
                <w:b/>
                <w:bCs/>
                <w:sz w:val="24"/>
                <w:szCs w:val="24"/>
              </w:rPr>
            </w:pPr>
            <w:r>
              <w:rPr>
                <w:rFonts w:hint="eastAsia" w:asciiTheme="minorEastAsia" w:hAnsiTheme="minorEastAsia" w:cstheme="minorEastAsia"/>
                <w:sz w:val="24"/>
                <w:szCs w:val="24"/>
              </w:rPr>
              <w:t>召开党委会20次，党政联席会34次，党委理论中心组集中学习25次。组织入党积极分子培训2期，176人次；发展党员61名，其中包括1名青年教师；完成5个党支部改选；全年收缴党费89647.7元；全年转出党员116人，接收党员57人；获批2项合肥工业大学党支部特色活动项目，其中1项为重点项目；资源科学与工程系教工党支部被评定为五星级党支部。环境科学与工程系教工党支部和本科生第一党支部获批安徽省“样板支部”；走访慰问教职工20余人次，按规定为53位离退休教职工发放学校慰问金26500元；组织教工采购贫困地区10余万元农产品，继续扶持灵璧县沙坝村小学地球科学科普展览馆建设。</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二、教学工作</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顺利完成近211门本科生课程的教学任务，全年0教学事故。获得各类技能大赛省部级及国家级奖61项。完成2023年教学基本状态数据采集相关任务。本年度获国家级教学成果奖一等奖1项。</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三、科研及实验室工作</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2023年学院新增科研立项138项，全年科研项目总到账经费3349万元。其中，承担科技部重点研发计划项目2项，地方科技计划项目课题2项，合同金额共2702万元；学院获批国家自然科学基金项目17项。其中，青年项目9项，面上项目8项，合同金额合计696万元；新获批牵头国家重点研发计划项目1项，合同金额2000万元；共发表学术论文180余篇；共获得29项国家发明专利授权，8项实用新型专利授权，12项软件著作权,1项国际专利授权；获安徽省自然科学奖一等奖1项，学会奖2项；大型仪器创收159余万元；新获批安徽省行业产教融合共同体培育建设项目1项。</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四、学科建设与研究生工作</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持续推动“资源勘查工程”“地质学”“环境工程”国家级一流专业学科建设。进一步提升“新工科”——“地球信息科学与技术”“遥感科学与技术”专业的教育能力和水平。目前学院拥有“资源勘查工程”、“地质学”、“环境工程”3个国家级一流专业，“地球科学”与“环境学/生态学”2个ESI全球排名前1%学科；新增6名博导（其中兼职博导3名）、14名硕导（其中兼职硕导8名）。招收37名博士研究生，其中外籍研究生1名。</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五、人才与师资工作</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Theme="minorEastAsia" w:hAnsiTheme="minorEastAsia" w:cstheme="minorEastAsia"/>
                <w:bCs/>
                <w:sz w:val="24"/>
                <w:szCs w:val="24"/>
              </w:rPr>
            </w:pPr>
            <w:r>
              <w:rPr>
                <w:rFonts w:hint="eastAsia" w:asciiTheme="minorEastAsia" w:hAnsiTheme="minorEastAsia" w:cstheme="minorEastAsia"/>
                <w:bCs/>
                <w:sz w:val="24"/>
                <w:szCs w:val="24"/>
              </w:rPr>
              <w:t>获批青年拔尖人才项目1项、长江讲席计划项目1项；引进黄山学者2人；</w:t>
            </w:r>
            <w:r>
              <w:rPr>
                <w:rFonts w:hint="eastAsia" w:asciiTheme="minorEastAsia" w:hAnsiTheme="minorEastAsia" w:cstheme="minorEastAsia"/>
                <w:sz w:val="24"/>
                <w:szCs w:val="24"/>
              </w:rPr>
              <w:t>新引进青年教师7人；新入站全职博后4人、在职博后1人、企业联合博士后2人，顺利出站3人。3名博士后获批国家自然科学青年基金项目，1名博士后获批国家博士后科学基金项目，1名博士后获批安徽省自然科学青年基金项目。</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六、学生工作与共青团工作</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开办入党积极分子班2期，培养入党积极分子176人，发展学生党员60人。组织开展30余场品牌思想文化活动。共有44项创新项目获得“大学生创新训练计划”立项。学生累计获省部级以上科技竞赛奖项50余项。累计发放临时困难补助2万余元，资助学生80余人次；累计发放学院社会捐资奖助学金5项，金额共计20万元，惠及学生48人。全学年承办学院大小专场招聘会10余场。本科生就业率95.53%，研究生就业率98.72%。</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七、国有资产管理与财务</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集中报废处置资产378台件，资产原值2157583.64元。完成了资产的清查盘点工作，账面总计5709台件，资产总值88762437.16元。完成学院2023年度财务预算编订工作，做好财务预算的执行检查工作。</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八、学术交流与国际化</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参加线上、线下国内外高层次学术会议300多人次。邀请国内外专家为师生做学术报告45余场；</w:t>
            </w:r>
            <w:r>
              <w:rPr>
                <w:rFonts w:hint="eastAsia" w:asciiTheme="minorEastAsia" w:hAnsiTheme="minorEastAsia" w:cstheme="minorEastAsia"/>
                <w:bCs/>
                <w:sz w:val="24"/>
                <w:szCs w:val="24"/>
              </w:rPr>
              <w:t>学院国际全职博士后出站1人（Andrzej Wolniewicz）；项目执行期内“第九批安徽省外专人才计划”特聘教授1名（Peter Nigel Hollings教授）；获批国家留学基金委-战略性矿产资源成矿理论与找矿预测创新型人才国际合作培养项目。</w:t>
            </w:r>
          </w:p>
          <w:p>
            <w:pPr>
              <w:keepNext w:val="0"/>
              <w:keepLines w:val="0"/>
              <w:pageBreakBefore w:val="0"/>
              <w:widowControl w:val="0"/>
              <w:kinsoku/>
              <w:wordWrap/>
              <w:overflowPunct/>
              <w:topLinePunct w:val="0"/>
              <w:autoSpaceDE/>
              <w:autoSpaceDN/>
              <w:bidi w:val="0"/>
              <w:snapToGrid w:val="0"/>
              <w:spacing w:line="400" w:lineRule="exact"/>
              <w:ind w:firstLine="482" w:firstLineChars="200"/>
              <w:textAlignment w:val="auto"/>
              <w:rPr>
                <w:rFonts w:asciiTheme="minorEastAsia" w:hAnsiTheme="minorEastAsia" w:cstheme="minorEastAsia"/>
                <w:b/>
                <w:bCs/>
                <w:sz w:val="24"/>
                <w:szCs w:val="24"/>
              </w:rPr>
            </w:pPr>
            <w:r>
              <w:rPr>
                <w:rFonts w:hint="eastAsia" w:asciiTheme="minorEastAsia" w:hAnsiTheme="minorEastAsia" w:cstheme="minorEastAsia"/>
                <w:b/>
                <w:bCs/>
                <w:sz w:val="24"/>
                <w:szCs w:val="24"/>
              </w:rPr>
              <w:t>九、学院运行</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cs="仿宋" w:asciiTheme="minorEastAsia" w:hAnsiTheme="minorEastAsia"/>
                <w:szCs w:val="28"/>
              </w:rPr>
            </w:pPr>
            <w:r>
              <w:rPr>
                <w:rFonts w:hint="eastAsia" w:asciiTheme="minorEastAsia" w:hAnsiTheme="minorEastAsia" w:cstheme="minorEastAsia"/>
                <w:sz w:val="24"/>
                <w:szCs w:val="24"/>
              </w:rPr>
              <w:t>做好办文、办会和办事的组织、服务保障等；完成档案归档、年鉴编撰、值班、安全教育、后勤物业服务监管及进出车辆报备等工作；完成理化楼土建、西教及纬地楼两个会议室及院学术成就展览中心辅助设施改造，完成纬地楼裙房功能布局设计等；撰写文字、图片报道250余篇；首次举办资源与环境学科杰出校友高端论坛；做好79级校友毕业40周年返校及其他杰出校友回访母校座谈、奖学金捐赠等工作；开展“庆三八踏青”活动、“毕业杯”师生篮球联赛、第八届教职工摄影作品赛、田径运动会等。女子队获校教工乒乓球团体赛第六名、男子队获校第三届气排球比赛第六名；邀请部分离退休教师指导青年教师及学生野外教学、学生竞赛，对学院教学工作进行督导等。</w:t>
            </w:r>
          </w:p>
        </w:tc>
      </w:tr>
    </w:tbl>
    <w:p/>
    <w:p>
      <w:pPr>
        <w:rPr>
          <w:rFonts w:ascii="仿宋" w:hAnsi="仿宋" w:eastAsia="仿宋"/>
          <w:b/>
        </w:rPr>
      </w:pPr>
      <w:r>
        <w:rPr>
          <w:rFonts w:hint="eastAsia" w:ascii="仿宋" w:hAnsi="仿宋" w:eastAsia="仿宋"/>
          <w:b/>
        </w:rPr>
        <w:br w:type="page"/>
      </w:r>
    </w:p>
    <w:p>
      <w:pPr>
        <w:pStyle w:val="4"/>
        <w:spacing w:line="579" w:lineRule="auto"/>
        <w:rPr>
          <w:rFonts w:asciiTheme="majorEastAsia" w:hAnsiTheme="majorEastAsia" w:cstheme="majorEastAsia"/>
          <w:sz w:val="30"/>
          <w:szCs w:val="30"/>
          <w:shd w:val="clear" w:color="auto" w:fill="FFFFFF"/>
        </w:rPr>
      </w:pPr>
      <w:bookmarkStart w:id="22" w:name="_Toc2856"/>
      <w:r>
        <w:rPr>
          <w:rFonts w:hint="eastAsia" w:asciiTheme="majorEastAsia" w:hAnsiTheme="majorEastAsia" w:cstheme="majorEastAsia"/>
          <w:sz w:val="30"/>
          <w:szCs w:val="30"/>
        </w:rPr>
        <w:t>食品与生物工程学院</w:t>
      </w:r>
      <w:r>
        <w:rPr>
          <w:rFonts w:hint="eastAsia" w:asciiTheme="majorEastAsia" w:hAnsiTheme="majorEastAsia" w:cstheme="majorEastAsia"/>
          <w:sz w:val="30"/>
          <w:szCs w:val="30"/>
          <w:shd w:val="clear" w:color="auto" w:fill="FFFFFF"/>
        </w:rPr>
        <w:t>2023年度业绩简表</w:t>
      </w:r>
      <w:bookmarkEnd w:id="22"/>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sz w:val="24"/>
                <w:szCs w:val="21"/>
              </w:rPr>
            </w:pPr>
            <w:r>
              <w:rPr>
                <w:rFonts w:hint="eastAsia" w:ascii="仿宋" w:hAnsi="仿宋" w:eastAsia="仿宋"/>
                <w:b/>
                <w:sz w:val="24"/>
                <w:szCs w:val="21"/>
              </w:rPr>
              <w:t>单位名称</w:t>
            </w:r>
          </w:p>
        </w:tc>
        <w:tc>
          <w:tcPr>
            <w:tcW w:w="2976" w:type="dxa"/>
            <w:vAlign w:val="center"/>
          </w:tcPr>
          <w:p>
            <w:pPr>
              <w:jc w:val="center"/>
              <w:rPr>
                <w:rFonts w:ascii="仿宋" w:hAnsi="仿宋" w:eastAsia="仿宋"/>
                <w:b/>
                <w:sz w:val="24"/>
                <w:szCs w:val="21"/>
              </w:rPr>
            </w:pPr>
            <w:r>
              <w:rPr>
                <w:rFonts w:hint="eastAsia" w:ascii="仿宋" w:hAnsi="仿宋" w:eastAsia="仿宋"/>
                <w:b/>
                <w:sz w:val="24"/>
                <w:szCs w:val="21"/>
              </w:rPr>
              <w:t>食品与生物工程学院</w:t>
            </w:r>
          </w:p>
        </w:tc>
        <w:tc>
          <w:tcPr>
            <w:tcW w:w="1747" w:type="dxa"/>
            <w:vAlign w:val="center"/>
          </w:tcPr>
          <w:p>
            <w:pPr>
              <w:jc w:val="center"/>
              <w:rPr>
                <w:rFonts w:ascii="仿宋" w:hAnsi="仿宋" w:eastAsia="仿宋"/>
                <w:b/>
                <w:sz w:val="24"/>
                <w:szCs w:val="21"/>
              </w:rPr>
            </w:pPr>
            <w:r>
              <w:rPr>
                <w:rFonts w:hint="eastAsia" w:ascii="仿宋" w:hAnsi="仿宋" w:eastAsia="仿宋"/>
                <w:b/>
                <w:sz w:val="24"/>
                <w:szCs w:val="21"/>
              </w:rPr>
              <w:t>单位职工数</w:t>
            </w:r>
          </w:p>
        </w:tc>
        <w:tc>
          <w:tcPr>
            <w:tcW w:w="2131" w:type="dxa"/>
            <w:vAlign w:val="center"/>
          </w:tcPr>
          <w:p>
            <w:pPr>
              <w:jc w:val="center"/>
              <w:rPr>
                <w:rFonts w:ascii="仿宋" w:hAnsi="仿宋" w:eastAsia="仿宋"/>
                <w:b/>
                <w:sz w:val="24"/>
                <w:szCs w:val="21"/>
              </w:rPr>
            </w:pPr>
            <w:r>
              <w:rPr>
                <w:rFonts w:hint="eastAsia" w:ascii="仿宋" w:hAnsi="仿宋" w:eastAsia="仿宋"/>
                <w:b/>
                <w:sz w:val="24"/>
                <w:szCs w:val="21"/>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keepNext w:val="0"/>
              <w:keepLines w:val="0"/>
              <w:pageBreakBefore w:val="0"/>
              <w:widowControl w:val="0"/>
              <w:kinsoku/>
              <w:wordWrap/>
              <w:overflowPunct/>
              <w:topLinePunct w:val="0"/>
              <w:autoSpaceDE/>
              <w:autoSpaceDN/>
              <w:bidi w:val="0"/>
              <w:adjustRightInd/>
              <w:snapToGrid/>
              <w:spacing w:line="3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一、党建与思想政治工作</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加强政治建设和理论武装。扎实开展学习习近平新时代中国特色社会主义思想主题教育，工作经验在</w:t>
            </w:r>
            <w:r>
              <w:rPr>
                <w:rFonts w:hint="eastAsia" w:asciiTheme="minorEastAsia" w:hAnsiTheme="minorEastAsia" w:eastAsiaTheme="minorEastAsia" w:cstheme="minorEastAsia"/>
                <w:b/>
                <w:bCs/>
                <w:sz w:val="24"/>
                <w:szCs w:val="24"/>
              </w:rPr>
              <w:t>全校作交流发言</w:t>
            </w:r>
            <w:r>
              <w:rPr>
                <w:rFonts w:hint="eastAsia" w:asciiTheme="minorEastAsia" w:hAnsiTheme="minorEastAsia" w:eastAsiaTheme="minorEastAsia" w:cstheme="minorEastAsia"/>
                <w:sz w:val="24"/>
                <w:szCs w:val="24"/>
              </w:rPr>
              <w:t>，并被编入全国食品党建联盟党建育人创新论坛交流材料汇编。</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加强各类阵地管理，筑牢意识形态安全防线。开展师德师风集中学习、培训和警示教育，切实加强师德师风建设。选树“最美食生人”，宣传优秀教师典型。</w:t>
            </w:r>
            <w:r>
              <w:rPr>
                <w:rFonts w:hint="eastAsia" w:asciiTheme="minorEastAsia" w:hAnsiTheme="minorEastAsia" w:eastAsiaTheme="minorEastAsia" w:cstheme="minorEastAsia"/>
                <w:b/>
                <w:bCs/>
                <w:sz w:val="24"/>
                <w:szCs w:val="24"/>
              </w:rPr>
              <w:t>肉品绿色制造与品质调控创新团队获安徽青年五四奖章集体，汪惠丽被中华全国总工会授予全国五一巾帼标兵。</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美化办公环境，加强学院文化建设。开展关心关爱活动，组织开展了三八节花艺沙龙、品鉴咖啡、为教职工子女赠送儿童节礼物活动、荣休仪式、集体生日会等。</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在省委教育工委第二批高校党建“双创”工作中，</w:t>
            </w:r>
            <w:r>
              <w:rPr>
                <w:rFonts w:hint="eastAsia" w:asciiTheme="minorEastAsia" w:hAnsiTheme="minorEastAsia" w:eastAsiaTheme="minorEastAsia" w:cstheme="minorEastAsia"/>
                <w:b/>
                <w:bCs/>
                <w:sz w:val="24"/>
                <w:szCs w:val="24"/>
              </w:rPr>
              <w:t>食品科学与工程系党支部和本科生第一党支部获批高校党建工作样板支部</w:t>
            </w:r>
            <w:r>
              <w:rPr>
                <w:rFonts w:hint="eastAsia" w:asciiTheme="minorEastAsia" w:hAnsiTheme="minorEastAsia" w:eastAsiaTheme="minorEastAsia" w:cstheme="minorEastAsia"/>
                <w:sz w:val="24"/>
                <w:szCs w:val="24"/>
              </w:rPr>
              <w:t>；学院党委作为“标杆院系”、食品科学与工程系党支部作为“样板支部”被</w:t>
            </w:r>
            <w:r>
              <w:rPr>
                <w:rFonts w:hint="eastAsia" w:asciiTheme="minorEastAsia" w:hAnsiTheme="minorEastAsia" w:eastAsiaTheme="minorEastAsia" w:cstheme="minorEastAsia"/>
                <w:b/>
                <w:bCs/>
                <w:sz w:val="24"/>
                <w:szCs w:val="24"/>
              </w:rPr>
              <w:t>推荐到全省参评全国第四批新时代高校党建“双创”工作</w:t>
            </w:r>
            <w:r>
              <w:rPr>
                <w:rFonts w:hint="eastAsia" w:asciiTheme="minorEastAsia" w:hAnsiTheme="minorEastAsia" w:eastAsiaTheme="minorEastAsia" w:cstheme="minorEastAsia"/>
                <w:sz w:val="24"/>
                <w:szCs w:val="24"/>
              </w:rPr>
              <w:t>；食品与质量安全系获</w:t>
            </w:r>
            <w:r>
              <w:rPr>
                <w:rFonts w:hint="eastAsia" w:asciiTheme="minorEastAsia" w:hAnsiTheme="minorEastAsia" w:eastAsiaTheme="minorEastAsia" w:cstheme="minorEastAsia"/>
                <w:b/>
                <w:bCs/>
                <w:sz w:val="24"/>
                <w:szCs w:val="24"/>
              </w:rPr>
              <w:t>“双带头人”书记工作室校级立项</w:t>
            </w:r>
            <w:r>
              <w:rPr>
                <w:rFonts w:hint="eastAsia" w:asciiTheme="minorEastAsia" w:hAnsiTheme="minorEastAsia" w:eastAsiaTheme="minorEastAsia" w:cstheme="minorEastAsia"/>
                <w:sz w:val="24"/>
                <w:szCs w:val="24"/>
              </w:rPr>
              <w:t>，并被</w:t>
            </w:r>
            <w:r>
              <w:rPr>
                <w:rFonts w:hint="eastAsia" w:asciiTheme="minorEastAsia" w:hAnsiTheme="minorEastAsia" w:eastAsiaTheme="minorEastAsia" w:cstheme="minorEastAsia"/>
                <w:b/>
                <w:bCs/>
                <w:sz w:val="24"/>
                <w:szCs w:val="24"/>
              </w:rPr>
              <w:t>推荐参评安徽省“双带头人”书记工作室</w:t>
            </w:r>
            <w:r>
              <w:rPr>
                <w:rFonts w:hint="eastAsia" w:asciiTheme="minorEastAsia" w:hAnsiTheme="minorEastAsia" w:eastAsiaTheme="minorEastAsia" w:cstheme="minorEastAsia"/>
                <w:sz w:val="24"/>
                <w:szCs w:val="24"/>
              </w:rPr>
              <w:t>；获批3项校级党支部特色活动，其中重点项目1项。学院分党校培训学员317名，发展党员80名。</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组织教师为对口帮扶县域企业提供科技咨询、专业人员培训等。学院筹措消费帮扶资金约15.6万元。</w:t>
            </w:r>
          </w:p>
          <w:p>
            <w:pPr>
              <w:keepNext w:val="0"/>
              <w:keepLines w:val="0"/>
              <w:pageBreakBefore w:val="0"/>
              <w:widowControl w:val="0"/>
              <w:kinsoku/>
              <w:wordWrap/>
              <w:overflowPunct/>
              <w:topLinePunct w:val="0"/>
              <w:autoSpaceDE/>
              <w:autoSpaceDN/>
              <w:bidi w:val="0"/>
              <w:adjustRightInd/>
              <w:snapToGrid/>
              <w:spacing w:line="3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二、教学工作</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制定2023版本科人才培养方案，圆满完成各专业教学任务。学院积极开展招生宣传工作，负责的广东省专业排位较之2022年大幅抬升，学院获 “2023年招生宣传优秀工作组”称号。</w:t>
            </w:r>
            <w:r>
              <w:rPr>
                <w:rFonts w:hint="eastAsia" w:asciiTheme="minorEastAsia" w:hAnsiTheme="minorEastAsia" w:eastAsiaTheme="minorEastAsia" w:cstheme="minorEastAsia"/>
                <w:b/>
                <w:bCs/>
                <w:sz w:val="24"/>
                <w:szCs w:val="24"/>
              </w:rPr>
              <w:t>“食品营养与健康”新专业获批并在宣城校区招生</w:t>
            </w:r>
            <w:r>
              <w:rPr>
                <w:rFonts w:hint="eastAsia" w:asciiTheme="minorEastAsia" w:hAnsiTheme="minorEastAsia" w:eastAsiaTheme="minorEastAsia" w:cstheme="minorEastAsia"/>
                <w:sz w:val="24"/>
                <w:szCs w:val="24"/>
              </w:rPr>
              <w:t>。肖桂然获学校2023年青年教师教学基本功比赛理科组一等奖；李沛军获第三届安徽省高校教师教学创新大赛正高组二等奖。</w:t>
            </w:r>
          </w:p>
          <w:p>
            <w:pPr>
              <w:keepNext w:val="0"/>
              <w:keepLines w:val="0"/>
              <w:pageBreakBefore w:val="0"/>
              <w:widowControl w:val="0"/>
              <w:kinsoku/>
              <w:wordWrap/>
              <w:overflowPunct/>
              <w:topLinePunct w:val="0"/>
              <w:autoSpaceDE/>
              <w:autoSpaceDN/>
              <w:bidi w:val="0"/>
              <w:adjustRightInd/>
              <w:snapToGrid/>
              <w:spacing w:line="32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《制药工程原理与设备》获第二批国家级一流本科课程认定</w:t>
            </w:r>
            <w:r>
              <w:rPr>
                <w:rFonts w:hint="eastAsia" w:asciiTheme="minorEastAsia" w:hAnsiTheme="minorEastAsia" w:eastAsiaTheme="minorEastAsia" w:cstheme="minorEastAsia"/>
                <w:sz w:val="24"/>
                <w:szCs w:val="24"/>
              </w:rPr>
              <w:t>。获批省级质量工程项目11项。《食品新业态发展背景下深度协同产业学院培育创新型专业人才的探索与实践》第二批全国新工科研究与实践项目结题验收。</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2023年度竞赛省级及以上获奖85项</w:t>
            </w:r>
            <w:r>
              <w:rPr>
                <w:rFonts w:hint="eastAsia" w:asciiTheme="minorEastAsia" w:hAnsiTheme="minorEastAsia" w:eastAsiaTheme="minorEastAsia" w:cstheme="minorEastAsia"/>
                <w:b/>
                <w:bCs/>
                <w:sz w:val="24"/>
                <w:szCs w:val="24"/>
              </w:rPr>
              <w:t>，获“挑战杯”中国大学生创业计划大赛国家级金奖1项。</w:t>
            </w:r>
          </w:p>
          <w:p>
            <w:pPr>
              <w:keepNext w:val="0"/>
              <w:keepLines w:val="0"/>
              <w:pageBreakBefore w:val="0"/>
              <w:widowControl w:val="0"/>
              <w:kinsoku/>
              <w:wordWrap/>
              <w:overflowPunct/>
              <w:topLinePunct w:val="0"/>
              <w:autoSpaceDE/>
              <w:autoSpaceDN/>
              <w:bidi w:val="0"/>
              <w:adjustRightInd/>
              <w:snapToGrid/>
              <w:spacing w:line="3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三、科研工作</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到账科研总经费6618.26万元，较去年(6379.17万元)增加233.09万元。本年度新立项项目174项。</w:t>
            </w:r>
            <w:r>
              <w:rPr>
                <w:rFonts w:hint="eastAsia" w:asciiTheme="minorEastAsia" w:hAnsiTheme="minorEastAsia" w:eastAsiaTheme="minorEastAsia" w:cstheme="minorEastAsia"/>
                <w:b/>
                <w:bCs/>
                <w:sz w:val="24"/>
                <w:szCs w:val="24"/>
              </w:rPr>
              <w:t>获批十四五国家重点研发项目1项；</w:t>
            </w:r>
            <w:r>
              <w:rPr>
                <w:rFonts w:hint="eastAsia" w:asciiTheme="minorEastAsia" w:hAnsiTheme="minorEastAsia" w:eastAsiaTheme="minorEastAsia" w:cstheme="minorEastAsia"/>
                <w:sz w:val="24"/>
                <w:szCs w:val="24"/>
              </w:rPr>
              <w:t>以我院教师牵头</w:t>
            </w:r>
            <w:r>
              <w:rPr>
                <w:rFonts w:hint="eastAsia" w:asciiTheme="minorEastAsia" w:hAnsiTheme="minorEastAsia" w:eastAsiaTheme="minorEastAsia" w:cstheme="minorEastAsia"/>
                <w:b/>
                <w:bCs/>
                <w:sz w:val="24"/>
                <w:szCs w:val="24"/>
              </w:rPr>
              <w:t>获批安徽省重点研究与开发计划项目8项</w:t>
            </w:r>
            <w:r>
              <w:rPr>
                <w:rFonts w:hint="eastAsia" w:asciiTheme="minorEastAsia" w:hAnsiTheme="minorEastAsia" w:eastAsiaTheme="minorEastAsia" w:cstheme="minorEastAsia"/>
                <w:sz w:val="24"/>
                <w:szCs w:val="24"/>
              </w:rPr>
              <w:t>；获批国家自然科学基金面上项目和青年基金项目各5项。</w:t>
            </w:r>
          </w:p>
          <w:p>
            <w:pPr>
              <w:keepNext w:val="0"/>
              <w:keepLines w:val="0"/>
              <w:pageBreakBefore w:val="0"/>
              <w:widowControl w:val="0"/>
              <w:kinsoku/>
              <w:wordWrap/>
              <w:overflowPunct/>
              <w:topLinePunct w:val="0"/>
              <w:autoSpaceDE/>
              <w:autoSpaceDN/>
              <w:bidi w:val="0"/>
              <w:adjustRightInd/>
              <w:snapToGrid/>
              <w:spacing w:line="32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发表高水平论文330篇</w:t>
            </w:r>
            <w:r>
              <w:rPr>
                <w:rFonts w:hint="eastAsia" w:asciiTheme="minorEastAsia" w:hAnsiTheme="minorEastAsia" w:eastAsiaTheme="minorEastAsia" w:cstheme="minorEastAsia"/>
                <w:sz w:val="24"/>
                <w:szCs w:val="24"/>
              </w:rPr>
              <w:t>。其中，在Food Chemistry、Food Hydrocolloids、LWT-Food Science And Technology 、Carbohydrate Polymers、Nature Communications、Star protocols等发表多篇高水平论文。</w:t>
            </w:r>
            <w:r>
              <w:rPr>
                <w:rFonts w:hint="eastAsia" w:asciiTheme="minorEastAsia" w:hAnsiTheme="minorEastAsia" w:eastAsiaTheme="minorEastAsia" w:cstheme="minorEastAsia"/>
                <w:b/>
                <w:bCs/>
                <w:sz w:val="24"/>
                <w:szCs w:val="24"/>
              </w:rPr>
              <w:t>申请专利169项</w:t>
            </w:r>
            <w:r>
              <w:rPr>
                <w:rFonts w:hint="eastAsia" w:asciiTheme="minorEastAsia" w:hAnsiTheme="minorEastAsia" w:eastAsiaTheme="minorEastAsia" w:cstheme="minorEastAsia"/>
                <w:sz w:val="24"/>
                <w:szCs w:val="24"/>
              </w:rPr>
              <w:t>，授权83项。</w:t>
            </w:r>
            <w:r>
              <w:rPr>
                <w:rFonts w:hint="eastAsia" w:asciiTheme="minorEastAsia" w:hAnsiTheme="minorEastAsia" w:eastAsiaTheme="minorEastAsia" w:cstheme="minorEastAsia"/>
                <w:b/>
                <w:bCs/>
                <w:sz w:val="24"/>
                <w:szCs w:val="24"/>
              </w:rPr>
              <w:t>获授权美国发明专利3项，获授权日本发明专利1项，荷兰专利6项。</w:t>
            </w:r>
          </w:p>
          <w:p>
            <w:pPr>
              <w:keepNext w:val="0"/>
              <w:keepLines w:val="0"/>
              <w:pageBreakBefore w:val="0"/>
              <w:widowControl w:val="0"/>
              <w:kinsoku/>
              <w:wordWrap/>
              <w:overflowPunct/>
              <w:topLinePunct w:val="0"/>
              <w:autoSpaceDE/>
              <w:autoSpaceDN/>
              <w:bidi w:val="0"/>
              <w:adjustRightInd/>
              <w:snapToGrid/>
              <w:spacing w:line="32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获批安徽省重点实验室1个</w:t>
            </w:r>
            <w:r>
              <w:rPr>
                <w:rFonts w:hint="eastAsia" w:asciiTheme="minorEastAsia" w:hAnsiTheme="minorEastAsia" w:eastAsiaTheme="minorEastAsia" w:cstheme="minorEastAsia"/>
                <w:sz w:val="24"/>
                <w:szCs w:val="24"/>
              </w:rPr>
              <w:t>（动物源食品绿色制造与资源挖掘安徽省重点实验室）。</w:t>
            </w:r>
            <w:r>
              <w:rPr>
                <w:rFonts w:hint="eastAsia" w:asciiTheme="minorEastAsia" w:hAnsiTheme="minorEastAsia" w:eastAsiaTheme="minorEastAsia" w:cstheme="minorEastAsia"/>
                <w:b/>
                <w:bCs/>
                <w:sz w:val="24"/>
                <w:szCs w:val="24"/>
              </w:rPr>
              <w:t>获中国轻工业联合会科技进步奖一等奖1项</w:t>
            </w:r>
            <w:r>
              <w:rPr>
                <w:rFonts w:hint="eastAsia" w:asciiTheme="minorEastAsia" w:hAnsiTheme="minorEastAsia" w:eastAsiaTheme="minorEastAsia" w:cstheme="minorEastAsia"/>
                <w:sz w:val="24"/>
                <w:szCs w:val="24"/>
              </w:rPr>
              <w:t>（已公示）</w:t>
            </w:r>
            <w:r>
              <w:rPr>
                <w:rFonts w:hint="eastAsia" w:asciiTheme="minorEastAsia" w:hAnsiTheme="minorEastAsia" w:eastAsiaTheme="minorEastAsia" w:cstheme="minorEastAsia"/>
                <w:b/>
                <w:bCs/>
                <w:sz w:val="24"/>
                <w:szCs w:val="24"/>
              </w:rPr>
              <w:t>、</w:t>
            </w:r>
            <w:r>
              <w:rPr>
                <w:rFonts w:hint="eastAsia" w:asciiTheme="minorEastAsia" w:hAnsiTheme="minorEastAsia" w:eastAsiaTheme="minorEastAsia" w:cstheme="minorEastAsia"/>
                <w:sz w:val="24"/>
                <w:szCs w:val="24"/>
              </w:rPr>
              <w:t>获安徽省科技进步奖二等奖1项（李兴江）、安徽省自然科学二等奖2项（汪惠丽、马艳）、安徽省自然科学三等奖1项（查正宝）。</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学院教师积极参加学术会议交流，年度达300余人次；邀请院外/校外专家做学术交流，年度举办学术报告达50余场次。其中，学院承办的“中国粮油学会第十一届学术年会”取得圆满成功。</w:t>
            </w:r>
          </w:p>
          <w:p>
            <w:pPr>
              <w:keepNext w:val="0"/>
              <w:keepLines w:val="0"/>
              <w:pageBreakBefore w:val="0"/>
              <w:widowControl w:val="0"/>
              <w:kinsoku/>
              <w:wordWrap/>
              <w:overflowPunct/>
              <w:topLinePunct w:val="0"/>
              <w:autoSpaceDE/>
              <w:autoSpaceDN/>
              <w:bidi w:val="0"/>
              <w:adjustRightInd/>
              <w:snapToGrid/>
              <w:spacing w:line="3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四、学科建设与研究生工作</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高等教育评价专业机构“软科世界一流学科排名”中，</w:t>
            </w:r>
            <w:r>
              <w:rPr>
                <w:rFonts w:hint="eastAsia" w:asciiTheme="minorEastAsia" w:hAnsiTheme="minorEastAsia" w:eastAsiaTheme="minorEastAsia" w:cstheme="minorEastAsia"/>
                <w:b/>
                <w:bCs/>
                <w:sz w:val="24"/>
                <w:szCs w:val="24"/>
              </w:rPr>
              <w:t>食品科学与工程学科世界排名第18名，中国内地排名第13位。以食品科学与工程学科为主要支撑的“农业科学”学科进入ESI全球排名前0.2%行列；</w:t>
            </w:r>
            <w:r>
              <w:rPr>
                <w:rFonts w:hint="eastAsia" w:asciiTheme="minorEastAsia" w:hAnsiTheme="minorEastAsia" w:eastAsiaTheme="minorEastAsia" w:cstheme="minorEastAsia"/>
                <w:sz w:val="24"/>
                <w:szCs w:val="24"/>
              </w:rPr>
              <w:t>基本科学指标数据库（ESI）公布最新数据，我校“生物学与生物化学”（Biology&amp;Biochemistry）学科首次进入ESI全球排名前1%行列，是我院以食品、生物、医药学科群支撑的第2个进入ESI全球排名前1%的学科。</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录取硕士研究生247人，博士研究生61人；全院200名硕士研究生、15位博士研究生通过学位授予资格。</w:t>
            </w:r>
          </w:p>
          <w:p>
            <w:pPr>
              <w:keepNext w:val="0"/>
              <w:keepLines w:val="0"/>
              <w:pageBreakBefore w:val="0"/>
              <w:widowControl w:val="0"/>
              <w:kinsoku/>
              <w:wordWrap/>
              <w:overflowPunct/>
              <w:topLinePunct w:val="0"/>
              <w:autoSpaceDE/>
              <w:autoSpaceDN/>
              <w:bidi w:val="0"/>
              <w:adjustRightInd/>
              <w:snapToGrid/>
              <w:spacing w:line="320" w:lineRule="exact"/>
              <w:ind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五、人才与师资工作</w:t>
            </w:r>
          </w:p>
          <w:p>
            <w:pPr>
              <w:keepNext w:val="0"/>
              <w:keepLines w:val="0"/>
              <w:pageBreakBefore w:val="0"/>
              <w:widowControl w:val="0"/>
              <w:kinsoku/>
              <w:wordWrap/>
              <w:overflowPunct/>
              <w:topLinePunct w:val="0"/>
              <w:autoSpaceDE/>
              <w:autoSpaceDN/>
              <w:bidi w:val="0"/>
              <w:adjustRightInd/>
              <w:snapToGrid/>
              <w:spacing w:line="32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学院自主培养国家级人才1人（李沛军入选教育部“长江学者”青年学者项目），</w:t>
            </w:r>
            <w:r>
              <w:rPr>
                <w:rFonts w:hint="eastAsia" w:asciiTheme="minorEastAsia" w:hAnsiTheme="minorEastAsia" w:eastAsiaTheme="minorEastAsia" w:cstheme="minorEastAsia"/>
                <w:sz w:val="24"/>
                <w:szCs w:val="24"/>
              </w:rPr>
              <w:t>新增国家农业部现代农业（蛋鸡）产业技术体系加工岗位科学家1人（李述刚）、中国科协青年人才托举工程人选1人（陶晗）。成功引进黄山学者学术骨干1人、青年教师6人来院工作。本年度，新增专职博士生导师7人、专职硕士生导师4人、兼职硕士生导师1人，通过招生审核的博导38人、硕导118人。</w:t>
            </w:r>
          </w:p>
          <w:p>
            <w:pPr>
              <w:keepNext w:val="0"/>
              <w:keepLines w:val="0"/>
              <w:pageBreakBefore w:val="0"/>
              <w:widowControl w:val="0"/>
              <w:kinsoku/>
              <w:wordWrap/>
              <w:overflowPunct/>
              <w:topLinePunct w:val="0"/>
              <w:autoSpaceDE/>
              <w:autoSpaceDN/>
              <w:bidi w:val="0"/>
              <w:adjustRightInd/>
              <w:snapToGrid/>
              <w:spacing w:line="320" w:lineRule="exact"/>
              <w:ind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六、学生工作与共青团工作</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加强理想信念教育。“读懂中国”视频作品《心系家国，情系学子》被报送教育部。</w:t>
            </w:r>
            <w:r>
              <w:rPr>
                <w:rFonts w:hint="eastAsia" w:asciiTheme="minorEastAsia" w:hAnsiTheme="minorEastAsia" w:eastAsiaTheme="minorEastAsia" w:cstheme="minorEastAsia"/>
                <w:b/>
                <w:bCs/>
                <w:sz w:val="24"/>
                <w:szCs w:val="24"/>
              </w:rPr>
              <w:t>获安徽省“五四红旗团支部”和安徽高校活力团支部各1个</w:t>
            </w:r>
            <w:r>
              <w:rPr>
                <w:rFonts w:hint="eastAsia" w:asciiTheme="minorEastAsia" w:hAnsiTheme="minorEastAsia" w:eastAsiaTheme="minorEastAsia" w:cstheme="minorEastAsia"/>
                <w:sz w:val="24"/>
                <w:szCs w:val="24"/>
              </w:rPr>
              <w:t>。获全国“三下乡”专项社会实践活动优秀团队1个，文梦迪获我校第十二届 “大学生自强之星”，6名学生荣获校“十佳大学生”。</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进一步完善“七位一体”心理育人体系，学院大学生发展辅导中心获批2023年学校示范中心，2个心理育人特色项目；安徽省名师工作室莳心工作室顺利结题，</w:t>
            </w:r>
            <w:r>
              <w:rPr>
                <w:rFonts w:hint="eastAsia" w:asciiTheme="minorEastAsia" w:hAnsiTheme="minorEastAsia" w:eastAsiaTheme="minorEastAsia" w:cstheme="minorEastAsia"/>
                <w:b/>
                <w:bCs/>
                <w:sz w:val="24"/>
                <w:szCs w:val="24"/>
              </w:rPr>
              <w:t>制作“爱的能力提升”心理微课11讲；王烨获全国百佳心理委员提名奖</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积极跟企业合作，2022-2023学年社会捐资奖学金累计发放30万元，覆盖96人次。2023届本科生就业率96.25%、研究生就业率99.03%。获批</w:t>
            </w:r>
            <w:r>
              <w:rPr>
                <w:rFonts w:hint="eastAsia" w:asciiTheme="minorEastAsia" w:hAnsiTheme="minorEastAsia" w:eastAsiaTheme="minorEastAsia" w:cstheme="minorEastAsia"/>
                <w:b/>
                <w:bCs/>
                <w:sz w:val="24"/>
                <w:szCs w:val="24"/>
              </w:rPr>
              <w:t>教育部第二期就业育人项目1项</w:t>
            </w:r>
            <w:r>
              <w:rPr>
                <w:rFonts w:hint="eastAsia" w:asciiTheme="minorEastAsia" w:hAnsiTheme="minorEastAsia" w:eastAsiaTheme="minorEastAsia" w:cstheme="minorEastAsia"/>
                <w:sz w:val="24"/>
                <w:szCs w:val="24"/>
              </w:rPr>
              <w:t>、校就业育人项目1项；</w:t>
            </w:r>
            <w:r>
              <w:rPr>
                <w:rFonts w:hint="eastAsia" w:asciiTheme="minorEastAsia" w:hAnsiTheme="minorEastAsia" w:eastAsiaTheme="minorEastAsia" w:cstheme="minorEastAsia"/>
                <w:b/>
                <w:bCs/>
                <w:sz w:val="24"/>
                <w:szCs w:val="24"/>
              </w:rPr>
              <w:t>1人获安徽省“创新创业之星”</w:t>
            </w:r>
            <w:r>
              <w:rPr>
                <w:rFonts w:hint="eastAsia" w:asciiTheme="minorEastAsia" w:hAnsiTheme="minorEastAsia" w:eastAsiaTheme="minorEastAsia" w:cstheme="minorEastAsia"/>
                <w:sz w:val="24"/>
                <w:szCs w:val="24"/>
              </w:rPr>
              <w:t>。郝婉婷事迹入选《第二课堂教育研究与实践》新生特刊，</w:t>
            </w:r>
            <w:r>
              <w:rPr>
                <w:rFonts w:hint="eastAsia" w:asciiTheme="minorEastAsia" w:hAnsiTheme="minorEastAsia" w:eastAsiaTheme="minorEastAsia" w:cstheme="minorEastAsia"/>
                <w:b/>
                <w:bCs/>
                <w:sz w:val="24"/>
                <w:szCs w:val="24"/>
              </w:rPr>
              <w:t>陈思宇、姚佳忆和郝婉婷典型事迹在校团委微信平台上推广宣传</w:t>
            </w:r>
            <w:r>
              <w:rPr>
                <w:rFonts w:hint="eastAsia" w:asciiTheme="minorEastAsia" w:hAnsiTheme="minorEastAsia" w:eastAsiaTheme="minorEastAsia" w:cstheme="minorEastAsia"/>
                <w:sz w:val="24"/>
                <w:szCs w:val="24"/>
              </w:rPr>
              <w:t>。</w:t>
            </w:r>
          </w:p>
          <w:p>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学院运行</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ascii="仿宋" w:hAnsi="仿宋"/>
                <w:sz w:val="24"/>
                <w:szCs w:val="24"/>
              </w:rPr>
            </w:pPr>
            <w:r>
              <w:rPr>
                <w:rFonts w:hint="eastAsia" w:asciiTheme="minorEastAsia" w:hAnsiTheme="minorEastAsia" w:eastAsiaTheme="minorEastAsia" w:cstheme="minorEastAsia"/>
                <w:bCs/>
                <w:sz w:val="24"/>
                <w:szCs w:val="24"/>
              </w:rPr>
              <w:t>学院认真贯彻学校和上级部门各项决策部署，积极落实各项工作任务。高度重视校园安全、实验室安全管理工作和学生身心健康。学院机关做好管理服务与后勤保障，全年无突发事件与安全事故发生。</w:t>
            </w:r>
          </w:p>
        </w:tc>
      </w:tr>
    </w:tbl>
    <w:p>
      <w:r>
        <w:br w:type="page"/>
      </w:r>
    </w:p>
    <w:p>
      <w:pPr>
        <w:pStyle w:val="4"/>
        <w:rPr>
          <w:rFonts w:asciiTheme="majorEastAsia" w:hAnsiTheme="majorEastAsia" w:cstheme="majorEastAsia"/>
          <w:sz w:val="30"/>
          <w:szCs w:val="30"/>
          <w:shd w:val="clear" w:color="auto" w:fill="FFFFFF"/>
        </w:rPr>
      </w:pPr>
      <w:bookmarkStart w:id="23" w:name="_Toc19762"/>
      <w:r>
        <w:rPr>
          <w:rFonts w:hint="eastAsia" w:asciiTheme="majorEastAsia" w:hAnsiTheme="majorEastAsia" w:cstheme="majorEastAsia"/>
          <w:sz w:val="30"/>
          <w:szCs w:val="30"/>
        </w:rPr>
        <w:t>数学学院</w:t>
      </w:r>
      <w:r>
        <w:rPr>
          <w:rFonts w:hint="eastAsia" w:asciiTheme="majorEastAsia" w:hAnsiTheme="majorEastAsia" w:cstheme="majorEastAsia"/>
          <w:sz w:val="30"/>
          <w:szCs w:val="30"/>
          <w:shd w:val="clear" w:color="auto" w:fill="FFFFFF"/>
        </w:rPr>
        <w:t>2023年度业绩简表</w:t>
      </w:r>
      <w:bookmarkEnd w:id="23"/>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sz w:val="24"/>
                <w:szCs w:val="21"/>
              </w:rPr>
            </w:pPr>
            <w:r>
              <w:rPr>
                <w:rFonts w:hint="eastAsia" w:ascii="仿宋" w:hAnsi="仿宋" w:eastAsia="仿宋"/>
                <w:b/>
                <w:sz w:val="24"/>
                <w:szCs w:val="21"/>
              </w:rPr>
              <w:t>单位名称</w:t>
            </w:r>
          </w:p>
        </w:tc>
        <w:tc>
          <w:tcPr>
            <w:tcW w:w="2976" w:type="dxa"/>
            <w:vAlign w:val="center"/>
          </w:tcPr>
          <w:p>
            <w:pPr>
              <w:jc w:val="center"/>
              <w:rPr>
                <w:rFonts w:ascii="仿宋" w:hAnsi="仿宋" w:eastAsia="仿宋"/>
                <w:b/>
                <w:sz w:val="24"/>
                <w:szCs w:val="21"/>
              </w:rPr>
            </w:pPr>
            <w:r>
              <w:rPr>
                <w:rFonts w:hint="eastAsia" w:ascii="仿宋" w:hAnsi="仿宋" w:eastAsia="仿宋"/>
                <w:b/>
                <w:sz w:val="24"/>
                <w:szCs w:val="21"/>
              </w:rPr>
              <w:t>数学学院</w:t>
            </w:r>
          </w:p>
        </w:tc>
        <w:tc>
          <w:tcPr>
            <w:tcW w:w="1747" w:type="dxa"/>
            <w:vAlign w:val="center"/>
          </w:tcPr>
          <w:p>
            <w:pPr>
              <w:jc w:val="center"/>
              <w:rPr>
                <w:rFonts w:ascii="仿宋" w:hAnsi="仿宋" w:eastAsia="仿宋"/>
                <w:b/>
                <w:sz w:val="24"/>
                <w:szCs w:val="21"/>
              </w:rPr>
            </w:pPr>
            <w:r>
              <w:rPr>
                <w:rFonts w:hint="eastAsia" w:ascii="仿宋" w:hAnsi="仿宋" w:eastAsia="仿宋"/>
                <w:b/>
                <w:sz w:val="24"/>
                <w:szCs w:val="21"/>
              </w:rPr>
              <w:t>单位职工数</w:t>
            </w:r>
          </w:p>
        </w:tc>
        <w:tc>
          <w:tcPr>
            <w:tcW w:w="2131" w:type="dxa"/>
            <w:vAlign w:val="center"/>
          </w:tcPr>
          <w:p>
            <w:pPr>
              <w:jc w:val="center"/>
              <w:rPr>
                <w:rFonts w:ascii="仿宋" w:hAnsi="仿宋" w:eastAsia="仿宋"/>
                <w:b/>
                <w:sz w:val="24"/>
                <w:szCs w:val="21"/>
              </w:rPr>
            </w:pPr>
            <w:r>
              <w:rPr>
                <w:rFonts w:hint="eastAsia" w:ascii="仿宋" w:hAnsi="仿宋" w:eastAsia="仿宋"/>
                <w:b/>
                <w:sz w:val="24"/>
                <w:szCs w:val="21"/>
              </w:rPr>
              <w:t>1</w:t>
            </w:r>
            <w:r>
              <w:rPr>
                <w:rFonts w:ascii="仿宋" w:hAnsi="仿宋" w:eastAsia="仿宋"/>
                <w:b/>
                <w:sz w:val="24"/>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党建与思想政治等相关工作：</w:t>
            </w:r>
            <w:r>
              <w:rPr>
                <w:rFonts w:hint="eastAsia" w:ascii="宋体" w:hAnsi="宋体" w:eastAsia="宋体" w:cs="宋体"/>
                <w:sz w:val="24"/>
                <w:szCs w:val="24"/>
              </w:rPr>
              <w:t>学院党委紧密结合学院工作实际，围绕主题教育有关部署会精神、党章党规、党风廉政警示教育、党的二十大精神、主题教育必读书目等专题，组织开展了20次党委理论中心组集中学习，学院主题教育相关工作多次在学校主题教育专题网页和学校简报上刊发。选派统计系主任贾兆丽赴新疆农业大学挂职。完成2个学生党支部换届选举工作，发展51名学生党员，1名教工党员。在合肥工业大学第三届气排球比赛中，女子队荣获冠军，男子队荣获季军。在2023 年党风廉政建设宣传教育月活动中，“廉洁守正 清风伴行”毕业生廉洁教育获评优秀案例作品，《未选择的路》获评“润心话语”廉洁教育视频二等奖，“廉心文语”主题征文活动中获教师组优秀奖2人和学生组优秀奖3人。组建大学生“三下乡”团队开展支教，培训亳州能源学校、利辛机电学校的数学骨干教师，走访慰问利辛贫困大学生。今年新增联系点灵璧二中并建立社会实践活动基地。我院捐建的陈营村陈郢小学劳动实践基地完成建设并投入使用。</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教学工作：</w:t>
            </w:r>
            <w:r>
              <w:rPr>
                <w:rFonts w:hint="eastAsia" w:ascii="宋体" w:hAnsi="宋体" w:eastAsia="宋体" w:cs="宋体"/>
                <w:sz w:val="24"/>
                <w:szCs w:val="24"/>
              </w:rPr>
              <w:t>举办教育部大学数学虚拟教研室暨大学数学课程改革教学改革与教材建设研讨会，</w:t>
            </w:r>
            <w:r>
              <w:rPr>
                <w:rFonts w:hint="eastAsia" w:ascii="宋体" w:hAnsi="宋体" w:eastAsia="宋体" w:cs="宋体"/>
                <w:color w:val="333333"/>
                <w:sz w:val="24"/>
                <w:szCs w:val="24"/>
              </w:rPr>
              <w:t>邀请了“国家万人计划”教学名师和一流课程负责人来学院做报告，</w:t>
            </w:r>
            <w:r>
              <w:rPr>
                <w:rFonts w:hint="eastAsia" w:ascii="宋体" w:hAnsi="宋体" w:eastAsia="宋体" w:cs="宋体"/>
                <w:sz w:val="24"/>
                <w:szCs w:val="24"/>
              </w:rPr>
              <w:t>扎实推进教育部虚拟教研室建设；</w:t>
            </w:r>
            <w:r>
              <w:rPr>
                <w:rFonts w:hint="eastAsia" w:ascii="宋体" w:hAnsi="宋体" w:eastAsia="宋体" w:cs="宋体"/>
                <w:color w:val="333333"/>
                <w:sz w:val="24"/>
                <w:szCs w:val="24"/>
              </w:rPr>
              <w:t>完成了三个本科专业2023版本科人才培养方案的修订；</w:t>
            </w:r>
            <w:r>
              <w:rPr>
                <w:rFonts w:hint="eastAsia" w:ascii="宋体" w:hAnsi="宋体" w:eastAsia="宋体" w:cs="宋体"/>
                <w:sz w:val="24"/>
                <w:szCs w:val="24"/>
              </w:rPr>
              <w:t>《数值分析》获批国家一流线下课程，“十四五”规划教材《数值分析双语教程》出版，《概率论与数理统计》被推荐为省级规划教材；获批省级教学创新团队1个，省级线下课程1门，省级教坛新秀1名，省级教改项目3项；获全国统计建模大赛（合肥校区）国家级一等奖1项，三等奖1项；获美国大学生数学建模竞赛（合肥校区）一等奖1项，二等奖2项，三等奖21项；获第十四届蓝桥杯大赛国家级二等奖3项，三等奖8项，优秀奖7项；招生宣传工作获学校工作组优秀奖。</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学科建设与科研工作：</w:t>
            </w:r>
            <w:r>
              <w:rPr>
                <w:rFonts w:hint="eastAsia" w:ascii="宋体" w:hAnsi="宋体" w:eastAsia="宋体" w:cs="宋体"/>
                <w:sz w:val="24"/>
                <w:szCs w:val="24"/>
              </w:rPr>
              <w:t>获批国家自然科学基金项目4项，其中面上项目3项，青年项目1项。获批安徽省自然科学基金面上项目6项，创历史新高。科研到账总经费达671.2万元，其中纵向科研到账经费355.5万元，横向科研总实际到账经费315.7万元。邀请中科院院士叶向东教授、德国洪堡学者美国北卡州立大学景乃恒教授、国家杰青复旦⼤学陈猛教授等国内外著名高校的知名专家、学者举办了将近130多人次学术报告。获批设立数学博士后科研流动站，并举行中科院院士叶向东教授、中科院院士田野教授、中国科学技术大学李嘉禹教授、复旦大学吴泉水教授、南京大学秦厚荣教授等参加的博士后科研流动站揭牌暨学科建设专家咨询会。一级学科博士点通过审核性评估，应用统计专硕开始招生。网络与信息安全和应用统计专业超额完成招生计划，共招收34名非全日制学生。新增研究生联合培养基地1个。</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人才与师资工作：</w:t>
            </w:r>
            <w:r>
              <w:rPr>
                <w:rFonts w:hint="eastAsia" w:ascii="宋体" w:hAnsi="宋体" w:eastAsia="宋体" w:cs="宋体"/>
                <w:sz w:val="24"/>
                <w:szCs w:val="24"/>
              </w:rPr>
              <w:t>制定了学院师资队伍建设规划、进人具体要求和期刊目录分级；学院新进3名青年教师；1位教师获安徽省青教赛三等奖，1位教师获第三届高校教师教学创新大赛省赛二等奖，1位教师获评安徽省教坛新秀，2位教师获学校青年教师教学基本功比赛二等奖。</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国际化：</w:t>
            </w:r>
            <w:r>
              <w:rPr>
                <w:rFonts w:hint="eastAsia" w:ascii="宋体" w:hAnsi="宋体" w:eastAsia="宋体" w:cs="宋体"/>
                <w:sz w:val="24"/>
                <w:szCs w:val="24"/>
              </w:rPr>
              <w:t>获批2项国家级外专百人项目，另外在研的国家级和省级外专百人项目各2项。</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仿宋" w:hAnsi="仿宋" w:eastAsia="仿宋"/>
              </w:rPr>
            </w:pPr>
            <w:r>
              <w:rPr>
                <w:rFonts w:hint="eastAsia" w:ascii="宋体" w:hAnsi="宋体" w:eastAsia="宋体" w:cs="宋体"/>
                <w:b/>
                <w:bCs/>
                <w:sz w:val="24"/>
                <w:szCs w:val="24"/>
              </w:rPr>
              <w:t>学生工作与共青团工作：思想引领守正创新，</w:t>
            </w:r>
            <w:r>
              <w:rPr>
                <w:rFonts w:hint="eastAsia" w:ascii="宋体" w:hAnsi="宋体" w:eastAsia="宋体" w:cs="宋体"/>
                <w:sz w:val="24"/>
                <w:szCs w:val="24"/>
              </w:rPr>
              <w:t>本年度学生工作以习近平新时代中国特色社会主义思想为指导，全面学习贯彻党的二十大精神，开展“民族复兴，青年何为”主题诗歌大赛、“深学笃行二十大”主题党团日活动，开展爱校荣校、大学生文明养成、专业素养教育、网络安全教育、法治素养教育、国防教育等专题教育，累计开展各类主题教育活动100余项。</w:t>
            </w:r>
            <w:r>
              <w:rPr>
                <w:rFonts w:hint="eastAsia" w:ascii="宋体" w:hAnsi="宋体" w:eastAsia="宋体" w:cs="宋体"/>
                <w:b/>
                <w:sz w:val="24"/>
                <w:szCs w:val="24"/>
              </w:rPr>
              <w:t>心理工作守护底线</w:t>
            </w:r>
            <w:r>
              <w:rPr>
                <w:rFonts w:hint="eastAsia" w:ascii="宋体" w:hAnsi="宋体" w:eastAsia="宋体" w:cs="宋体"/>
                <w:sz w:val="24"/>
                <w:szCs w:val="24"/>
              </w:rPr>
              <w:t>，开展手语合唱比赛、斛心沙龙、“薪火相传 榜样力量”毕业班群体教育等心理活动10余项。</w:t>
            </w:r>
            <w:r>
              <w:rPr>
                <w:rFonts w:hint="eastAsia" w:ascii="宋体" w:hAnsi="宋体" w:eastAsia="宋体" w:cs="宋体"/>
                <w:b/>
                <w:sz w:val="24"/>
                <w:szCs w:val="24"/>
              </w:rPr>
              <w:t>体制机制不断完善</w:t>
            </w:r>
            <w:r>
              <w:rPr>
                <w:rFonts w:hint="eastAsia" w:ascii="宋体" w:hAnsi="宋体" w:eastAsia="宋体" w:cs="宋体"/>
                <w:sz w:val="24"/>
                <w:szCs w:val="24"/>
              </w:rPr>
              <w:t>，本年完善学生工作制度13项，严格学生日常事务管理，不断加强学风、考风、班风建设。</w:t>
            </w:r>
            <w:r>
              <w:rPr>
                <w:rFonts w:hint="eastAsia" w:ascii="宋体" w:hAnsi="宋体" w:eastAsia="宋体" w:cs="宋体"/>
                <w:b/>
                <w:sz w:val="24"/>
                <w:szCs w:val="24"/>
              </w:rPr>
              <w:t>就业工作稳中有升</w:t>
            </w:r>
            <w:r>
              <w:rPr>
                <w:rFonts w:hint="eastAsia" w:ascii="宋体" w:hAnsi="宋体" w:eastAsia="宋体" w:cs="宋体"/>
                <w:sz w:val="24"/>
                <w:szCs w:val="24"/>
              </w:rPr>
              <w:t>，学院2023届硕士毕业生年底就业率为96.3%，博士就业率100%；2023届本科生毕业生年底就业率为91.71%。</w:t>
            </w:r>
            <w:r>
              <w:rPr>
                <w:rFonts w:hint="eastAsia" w:ascii="宋体" w:hAnsi="宋体" w:eastAsia="宋体" w:cs="宋体"/>
                <w:b/>
                <w:sz w:val="24"/>
                <w:szCs w:val="24"/>
              </w:rPr>
              <w:t>第二课堂丰富多彩</w:t>
            </w:r>
            <w:r>
              <w:rPr>
                <w:rFonts w:hint="eastAsia" w:ascii="宋体" w:hAnsi="宋体" w:eastAsia="宋体" w:cs="宋体"/>
                <w:sz w:val="24"/>
                <w:szCs w:val="24"/>
              </w:rPr>
              <w:t>，铸牢中华民族共同体意识”主题展演中获“三等奖”，在校运动会，学生B组男子总分、女子总分、团体总分等分别荣获第三、第五、第七的好成绩。</w:t>
            </w:r>
            <w:r>
              <w:rPr>
                <w:rFonts w:hint="eastAsia" w:ascii="宋体" w:hAnsi="宋体" w:eastAsia="宋体" w:cs="宋体"/>
                <w:b/>
                <w:sz w:val="24"/>
                <w:szCs w:val="24"/>
              </w:rPr>
              <w:t>先进典型不断涌现</w:t>
            </w:r>
            <w:r>
              <w:rPr>
                <w:rFonts w:hint="eastAsia" w:ascii="宋体" w:hAnsi="宋体" w:eastAsia="宋体" w:cs="宋体"/>
                <w:sz w:val="24"/>
                <w:szCs w:val="24"/>
              </w:rPr>
              <w:t>，1人获评合肥工业大学班级心理委员标兵，并入围全国百佳心理委员评选、1人获评合肥工业大学十佳团支部书记、1人获评合肥工业大学优秀团支部书记，</w:t>
            </w:r>
            <w:r>
              <w:rPr>
                <w:rFonts w:hint="eastAsia" w:ascii="宋体" w:hAnsi="宋体" w:eastAsia="宋体" w:cs="宋体"/>
                <w:b/>
                <w:sz w:val="24"/>
                <w:szCs w:val="24"/>
              </w:rPr>
              <w:t>社会实践成效显著</w:t>
            </w:r>
            <w:r>
              <w:rPr>
                <w:rFonts w:hint="eastAsia" w:ascii="宋体" w:hAnsi="宋体" w:eastAsia="宋体" w:cs="宋体"/>
                <w:sz w:val="24"/>
                <w:szCs w:val="24"/>
              </w:rPr>
              <w:t>， “三下乡”重点支持三下乡实践团队11支，其中国家级团队1支、省级团队2支、校级团队8支，1项成果获得校优秀成果、5位同学获得优秀实践标兵，2支团队获"优秀实践团队"。1个团队获得挑战杯红色之旅赛道省级二等奖。</w:t>
            </w:r>
          </w:p>
        </w:tc>
      </w:tr>
    </w:tbl>
    <w:p>
      <w:pPr>
        <w:rPr>
          <w:rFonts w:ascii="黑体" w:hAnsi="黑体" w:eastAsia="黑体" w:cs="黑体"/>
          <w:bCs/>
          <w:sz w:val="21"/>
        </w:rPr>
      </w:pPr>
      <w:r>
        <w:rPr>
          <w:rFonts w:ascii="黑体" w:hAnsi="黑体" w:eastAsia="黑体" w:cs="黑体"/>
          <w:bCs/>
          <w:sz w:val="21"/>
        </w:rPr>
        <w:br w:type="page"/>
      </w:r>
    </w:p>
    <w:p>
      <w:pPr>
        <w:pStyle w:val="4"/>
        <w:spacing w:line="579" w:lineRule="auto"/>
        <w:rPr>
          <w:rFonts w:asciiTheme="majorEastAsia" w:hAnsiTheme="majorEastAsia" w:cstheme="majorEastAsia"/>
          <w:sz w:val="30"/>
          <w:szCs w:val="30"/>
          <w:shd w:val="clear" w:color="auto" w:fill="FFFFFF"/>
        </w:rPr>
      </w:pPr>
      <w:bookmarkStart w:id="24" w:name="_Toc14888"/>
      <w:r>
        <w:rPr>
          <w:rFonts w:hint="eastAsia" w:asciiTheme="majorEastAsia" w:hAnsiTheme="majorEastAsia" w:cstheme="majorEastAsia"/>
          <w:sz w:val="30"/>
          <w:szCs w:val="30"/>
        </w:rPr>
        <w:t>微电子学院</w:t>
      </w:r>
      <w:r>
        <w:rPr>
          <w:rFonts w:hint="eastAsia" w:asciiTheme="majorEastAsia" w:hAnsiTheme="majorEastAsia" w:cstheme="majorEastAsia"/>
          <w:sz w:val="30"/>
          <w:szCs w:val="30"/>
          <w:shd w:val="clear" w:color="auto" w:fill="FFFFFF"/>
        </w:rPr>
        <w:t>2023年度业绩简表</w:t>
      </w:r>
      <w:bookmarkEnd w:id="24"/>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sz w:val="24"/>
                <w:szCs w:val="21"/>
              </w:rPr>
            </w:pPr>
            <w:r>
              <w:rPr>
                <w:rFonts w:hint="eastAsia" w:ascii="仿宋" w:hAnsi="仿宋" w:eastAsia="仿宋"/>
                <w:b/>
                <w:sz w:val="24"/>
                <w:szCs w:val="21"/>
              </w:rPr>
              <w:t>单位名称</w:t>
            </w:r>
          </w:p>
        </w:tc>
        <w:tc>
          <w:tcPr>
            <w:tcW w:w="2976" w:type="dxa"/>
            <w:vAlign w:val="center"/>
          </w:tcPr>
          <w:p>
            <w:pPr>
              <w:jc w:val="center"/>
              <w:rPr>
                <w:rFonts w:ascii="仿宋" w:hAnsi="仿宋" w:eastAsia="仿宋"/>
                <w:b/>
                <w:sz w:val="24"/>
                <w:szCs w:val="21"/>
              </w:rPr>
            </w:pPr>
            <w:r>
              <w:rPr>
                <w:rFonts w:hint="eastAsia" w:ascii="仿宋" w:hAnsi="仿宋" w:eastAsia="仿宋"/>
                <w:b/>
                <w:sz w:val="24"/>
                <w:szCs w:val="21"/>
              </w:rPr>
              <w:t>微电子学院</w:t>
            </w:r>
          </w:p>
        </w:tc>
        <w:tc>
          <w:tcPr>
            <w:tcW w:w="1747" w:type="dxa"/>
            <w:vAlign w:val="center"/>
          </w:tcPr>
          <w:p>
            <w:pPr>
              <w:jc w:val="center"/>
              <w:rPr>
                <w:rFonts w:ascii="仿宋" w:hAnsi="仿宋" w:eastAsia="仿宋"/>
                <w:b/>
                <w:sz w:val="24"/>
                <w:szCs w:val="21"/>
              </w:rPr>
            </w:pPr>
            <w:r>
              <w:rPr>
                <w:rFonts w:hint="eastAsia" w:ascii="仿宋" w:hAnsi="仿宋" w:eastAsia="仿宋"/>
                <w:b/>
                <w:sz w:val="24"/>
                <w:szCs w:val="21"/>
              </w:rPr>
              <w:t>单位职工数</w:t>
            </w:r>
          </w:p>
        </w:tc>
        <w:tc>
          <w:tcPr>
            <w:tcW w:w="2131" w:type="dxa"/>
            <w:vAlign w:val="center"/>
          </w:tcPr>
          <w:p>
            <w:pPr>
              <w:jc w:val="center"/>
              <w:rPr>
                <w:rFonts w:ascii="仿宋" w:hAnsi="仿宋" w:eastAsia="仿宋"/>
                <w:b/>
                <w:sz w:val="24"/>
                <w:szCs w:val="21"/>
              </w:rPr>
            </w:pPr>
            <w:r>
              <w:rPr>
                <w:rFonts w:hint="eastAsia" w:ascii="仿宋" w:hAnsi="仿宋" w:eastAsia="仿宋"/>
                <w:b/>
                <w:sz w:val="24"/>
                <w:szCs w:val="21"/>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keepNext w:val="0"/>
              <w:keepLines w:val="0"/>
              <w:pageBreakBefore w:val="0"/>
              <w:widowControl w:val="0"/>
              <w:kinsoku/>
              <w:wordWrap/>
              <w:overflowPunct/>
              <w:topLinePunct w:val="0"/>
              <w:autoSpaceDE/>
              <w:autoSpaceDN/>
              <w:bidi w:val="0"/>
              <w:adjustRightInd/>
              <w:snapToGrid/>
              <w:spacing w:line="290" w:lineRule="exact"/>
              <w:ind w:firstLine="482" w:firstLineChars="200"/>
              <w:jc w:val="both"/>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一、党建与思想政治等相关工作</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认真开展主题教育，召开领导小组会议5次，集中学习和研讨交流14次，调研成果交流会1次，提交调研报告6篇，梳理重点问题18项并进行整改落实，“芯青年”茶话会60余场次，覆盖学生超过200人；党员领导干部和党支部书记讲党课19次；在学校网站发表宣传开展主题教育的新闻14篇、学院网站10余篇。</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领导班子成员在工作中能够坚持“一岗双责”和“党政同责”，至今共召开党委会18次、党政联席会30次，及时研究解决发展中的重大重要问题，保障学院事业高质量发展。</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召开警示教育大会和2次党风廉政建设专题工作会议，开展第一届“春风化雨”师德先进个人评选和表彰座谈会，选树宣传2名优秀教师典型。</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集电本科生支部获批省五星级党支部，微电子本科生党支部获批省党建工作样板支部培育单位；集电系教工党支部完成换届，学生党支部完成支委改选工作；教工党支部与沙坝村、合肥艾创微开展支部结对共建；本年度发展教职工预备党员1人，发展学生预备党员79人，按期完成发展计划。</w:t>
            </w:r>
          </w:p>
          <w:p>
            <w:pPr>
              <w:keepNext w:val="0"/>
              <w:keepLines w:val="0"/>
              <w:pageBreakBefore w:val="0"/>
              <w:widowControl w:val="0"/>
              <w:kinsoku/>
              <w:wordWrap/>
              <w:overflowPunct/>
              <w:topLinePunct w:val="0"/>
              <w:autoSpaceDE/>
              <w:autoSpaceDN/>
              <w:bidi w:val="0"/>
              <w:adjustRightInd/>
              <w:snapToGrid/>
              <w:spacing w:line="290" w:lineRule="exact"/>
              <w:ind w:firstLine="482" w:firstLineChars="200"/>
              <w:jc w:val="both"/>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二、教学工作</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修订2023版本科生专业人才培养方案。</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电子科学与技术专业的工程教育认证申请被受理。</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负责省内合肥一中和福建省招生宣传工作，使福建省的录取位次上升了4000名。学院所有本科专业的一志愿比率均超过100%，其中集电创新实验班达880%，位列全校第一。</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与中科大联合培养芯片人才，首招集电创新实验班44人；“本芯计划”正式启动。</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承办集创赛（华中赛区）决赛，研电赛、研创赛校赛。获得“挑战杯”中国大学生创业计划竞赛国家级铜奖1项、“挑战杯”大学生课外学术科技作品竞赛省级二等奖1项、红色专项活动省级三等奖1项、集创赛国家级二等奖1项，三等奖4项。全年共获得150余项各级竞赛奖项。</w:t>
            </w:r>
          </w:p>
          <w:p>
            <w:pPr>
              <w:keepNext w:val="0"/>
              <w:keepLines w:val="0"/>
              <w:pageBreakBefore w:val="0"/>
              <w:widowControl w:val="0"/>
              <w:kinsoku/>
              <w:wordWrap/>
              <w:overflowPunct/>
              <w:topLinePunct w:val="0"/>
              <w:autoSpaceDE/>
              <w:autoSpaceDN/>
              <w:bidi w:val="0"/>
              <w:adjustRightInd/>
              <w:snapToGrid/>
              <w:spacing w:line="290" w:lineRule="exact"/>
              <w:ind w:firstLine="482" w:firstLineChars="200"/>
              <w:jc w:val="both"/>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三、科研工作</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 xml:space="preserve">学院在研项目合同总经费5490.75万元，年度新增到账经费1594万元（其中纵向到账经费343万元，横向到账经费1251万元），新增获批立项项目共计44项，其中纵向15项（国家和省部级项目10项），横向校企合作项目29项。 </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与中国电子科技集团43所、本源量子计算科技、合肥芯碁微电子装备、合肥艾创微、安徽新宇环保科技、杜威智能等企业以横向合作项目为依托，进一步加强校企合作。</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学院主办CCF走进合肥高校暨宇航集成电路高峰论坛、CCF容错计算专委走进合肥工业大学暨可信集成电路中日双边国际研讨会、CCF集成电路设计专委走进合肥工业大学暨可信集成电路中德双边国际研讨会，开展专题学术报告13场。</w:t>
            </w:r>
          </w:p>
          <w:p>
            <w:pPr>
              <w:keepNext w:val="0"/>
              <w:keepLines w:val="0"/>
              <w:pageBreakBefore w:val="0"/>
              <w:widowControl w:val="0"/>
              <w:kinsoku/>
              <w:wordWrap/>
              <w:overflowPunct/>
              <w:topLinePunct w:val="0"/>
              <w:autoSpaceDE/>
              <w:autoSpaceDN/>
              <w:bidi w:val="0"/>
              <w:adjustRightInd/>
              <w:snapToGrid/>
              <w:spacing w:line="290" w:lineRule="exact"/>
              <w:ind w:firstLine="482" w:firstLineChars="200"/>
              <w:jc w:val="both"/>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四、学科建设与研究生工作</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在校领导亲自关心下、研究生院和计算机学院的大力支持下，学院获得动态调整电子科学与技术博士点的宝贵机会，论证方案已通过学校学位委员会审定并上报。</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学校与合肥市政府联合共建芯片公共研发平台，学院主动承接任务，与市政府相关部门、当地企业积极对接，已完成平台论证和经费预算报告并上报。</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顺利完成2023级研究生复试工作，2020级研究生答辩及学位申请工作。以学院为单位，集中开展了2022级博士研究生开题答辩和中期检查，以课题组为单位，开展了2022级硕士研究生开题答辩。</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学院教师参与荣获国家教学成果（研究生类）一等奖1项。</w:t>
            </w:r>
          </w:p>
          <w:p>
            <w:pPr>
              <w:keepNext w:val="0"/>
              <w:keepLines w:val="0"/>
              <w:pageBreakBefore w:val="0"/>
              <w:widowControl w:val="0"/>
              <w:kinsoku/>
              <w:wordWrap/>
              <w:overflowPunct/>
              <w:topLinePunct w:val="0"/>
              <w:autoSpaceDE/>
              <w:autoSpaceDN/>
              <w:bidi w:val="0"/>
              <w:adjustRightInd/>
              <w:snapToGrid/>
              <w:spacing w:line="290" w:lineRule="exact"/>
              <w:ind w:firstLine="482" w:firstLineChars="200"/>
              <w:jc w:val="both"/>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五、人才与师资工作</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全年累计收到应聘简历50余份，组织面试9场，合计面试35人，其中人才引进9人。2023年新增报到入职2人，新晋升高级职称2人。</w:t>
            </w:r>
          </w:p>
          <w:p>
            <w:pPr>
              <w:keepNext w:val="0"/>
              <w:keepLines w:val="0"/>
              <w:pageBreakBefore w:val="0"/>
              <w:widowControl w:val="0"/>
              <w:kinsoku/>
              <w:wordWrap/>
              <w:overflowPunct/>
              <w:topLinePunct w:val="0"/>
              <w:autoSpaceDE/>
              <w:autoSpaceDN/>
              <w:bidi w:val="0"/>
              <w:adjustRightInd/>
              <w:snapToGrid/>
              <w:spacing w:line="290" w:lineRule="exact"/>
              <w:ind w:firstLine="482" w:firstLineChars="200"/>
              <w:jc w:val="both"/>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六、学生工作与共青团工作</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选聘班主任27名，召开班主任、学工联席会议6场，建立重点关注学生档案15份，做到重点关注学生定期深入谈心谈话100%。</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开展心理健康月系列活动30余次，开展主题读书活动、主题学生社区红色观影等活动15项，与安徽省消防救援总队训练与战勤保障支队、翡翠湖校区学生社区等开展主题活动6项，各学生组织联合开展体育文化节、学风建设月等活动30余项。</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累计开展专题教育活动50余次，完成166名入党积极分子、91名发展对象和76名预备党员培训培养工作。</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开展访企拓岗促就业专项行动，累计走访省内外企事业单位30余家，全年线上线下相结合举办专场宣讲会30余场。截至12月6日，学院就业率达到到95.67%，2023届直接就业的162名学生中有93名学生（占比57.41%）到行业重点企业、对口龙头企业就业。</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组织学生暑期“三下乡”和寒假“返家乡”社会实践活动，在寒假“返家乡”社会实践中校级获奖23项，在暑期“三下乡”社会实践中累计获奖38项。同时，学院获评学校“三下乡”优秀组织单位奖。</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五四青年学生文艺汇演活动中学院获特等奖（第一名）并推荐参加第二届全省优秀艺术团课；在学校研究生啦啦操比赛中学院获得二等奖；学生体质健康测试获得校级三等奖。</w:t>
            </w:r>
          </w:p>
          <w:p>
            <w:pPr>
              <w:keepNext w:val="0"/>
              <w:keepLines w:val="0"/>
              <w:pageBreakBefore w:val="0"/>
              <w:widowControl w:val="0"/>
              <w:kinsoku/>
              <w:wordWrap/>
              <w:overflowPunct/>
              <w:topLinePunct w:val="0"/>
              <w:autoSpaceDE/>
              <w:autoSpaceDN/>
              <w:bidi w:val="0"/>
              <w:adjustRightInd/>
              <w:snapToGrid/>
              <w:spacing w:line="290" w:lineRule="exact"/>
              <w:ind w:firstLine="482" w:firstLineChars="200"/>
              <w:jc w:val="both"/>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七、国有资产管理与财务</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 xml:space="preserve">强化实验室安全管理，在4#实验楼一楼安装了门禁和监控系统，同时加装烟雾报警系统；完成4#实验楼107-2和103-2的电路改造；新建微流控与生物MEMS实验室。 </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完成学院资产盘点工作，资产账面总计6952台件，资产总值59941560.48元；进行了两次资产报废工作，共报废设备310台件，总价值2423391.4元；完成国有资产自查自纠工作。</w:t>
            </w:r>
          </w:p>
          <w:p>
            <w:pPr>
              <w:keepNext w:val="0"/>
              <w:keepLines w:val="0"/>
              <w:pageBreakBefore w:val="0"/>
              <w:widowControl w:val="0"/>
              <w:kinsoku/>
              <w:wordWrap/>
              <w:overflowPunct/>
              <w:topLinePunct w:val="0"/>
              <w:autoSpaceDE/>
              <w:autoSpaceDN/>
              <w:bidi w:val="0"/>
              <w:adjustRightInd/>
              <w:snapToGrid/>
              <w:spacing w:line="290" w:lineRule="exact"/>
              <w:ind w:firstLine="482" w:firstLineChars="200"/>
              <w:jc w:val="both"/>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八、国际化</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26</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组织师生留学选拔和培训工作，推荐1位本科生、3位教师进行交流学习。全年无违反外事纪律和保密规定。</w:t>
            </w:r>
          </w:p>
          <w:p>
            <w:pPr>
              <w:keepNext w:val="0"/>
              <w:keepLines w:val="0"/>
              <w:pageBreakBefore w:val="0"/>
              <w:widowControl w:val="0"/>
              <w:kinsoku/>
              <w:wordWrap/>
              <w:overflowPunct/>
              <w:topLinePunct w:val="0"/>
              <w:autoSpaceDE/>
              <w:autoSpaceDN/>
              <w:bidi w:val="0"/>
              <w:adjustRightInd/>
              <w:snapToGrid/>
              <w:spacing w:line="290" w:lineRule="exact"/>
              <w:ind w:firstLine="482" w:firstLineChars="200"/>
              <w:jc w:val="both"/>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九、学院运行</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贯彻“一改两为”，组织开展了全院用房面积摸底工作，对全院81间用房进行重新编号和上牌，并为每一位老师安装了工作室铭牌。为帮助学院新生尽快了解和适应校园的学习和生活环境，学院师生服务中心与学生班级建立信息微信群以便及时提供咨询帮助。</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组织倡导开展扶贫帮扶活动，全年共收到68000元扶贫采购款，为灵璧县沙坝村帮扶困难群众捐款1000元。对学院困难和生病住院教职工送温暖5000余元。</w:t>
            </w:r>
          </w:p>
          <w:p>
            <w:pPr>
              <w:keepNext w:val="0"/>
              <w:keepLines w:val="0"/>
              <w:pageBreakBefore w:val="0"/>
              <w:widowControl w:val="0"/>
              <w:kinsoku/>
              <w:wordWrap/>
              <w:overflowPunct/>
              <w:topLinePunct w:val="0"/>
              <w:autoSpaceDE/>
              <w:autoSpaceDN/>
              <w:bidi w:val="0"/>
              <w:adjustRightInd/>
              <w:snapToGrid/>
              <w:spacing w:line="290" w:lineRule="exact"/>
              <w:ind w:firstLine="480" w:firstLineChars="200"/>
              <w:jc w:val="both"/>
              <w:textAlignment w:val="auto"/>
              <w:rPr>
                <w:rFonts w:ascii="Times New Roman" w:hAnsi="Times New Roman" w:cs="Times New Roman"/>
                <w:sz w:val="21"/>
                <w:szCs w:val="21"/>
              </w:rPr>
            </w:pPr>
            <w:r>
              <w:rPr>
                <w:rFonts w:hint="eastAsia" w:asciiTheme="minorEastAsia" w:hAnsiTheme="minorEastAsia" w:eastAsiaTheme="minorEastAsia" w:cstheme="minorEastAsia"/>
                <w:sz w:val="24"/>
                <w:szCs w:val="24"/>
              </w:rPr>
              <w:t>29</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成功召开了学院首届一次教代会暨工代会。</w:t>
            </w:r>
          </w:p>
        </w:tc>
      </w:tr>
    </w:tbl>
    <w:p>
      <w:r>
        <w:br w:type="page"/>
      </w:r>
    </w:p>
    <w:p>
      <w:pPr>
        <w:pStyle w:val="4"/>
        <w:spacing w:line="579" w:lineRule="auto"/>
        <w:rPr>
          <w:rFonts w:asciiTheme="majorEastAsia" w:hAnsiTheme="majorEastAsia" w:cstheme="majorEastAsia"/>
          <w:color w:val="000000" w:themeColor="text1"/>
          <w:sz w:val="30"/>
          <w:szCs w:val="30"/>
          <w:shd w:val="clear" w:color="auto" w:fill="FFFFFF"/>
          <w14:textFill>
            <w14:solidFill>
              <w14:schemeClr w14:val="tx1"/>
            </w14:solidFill>
          </w14:textFill>
        </w:rPr>
      </w:pPr>
      <w:bookmarkStart w:id="25" w:name="_Toc18805"/>
      <w:r>
        <w:rPr>
          <w:rFonts w:hint="eastAsia" w:asciiTheme="majorEastAsia" w:hAnsiTheme="majorEastAsia" w:cstheme="majorEastAsia"/>
          <w:sz w:val="30"/>
          <w:szCs w:val="30"/>
          <w:lang w:eastAsia="zh-CN"/>
        </w:rPr>
        <w:t>物理</w:t>
      </w:r>
      <w:r>
        <w:rPr>
          <w:rFonts w:hint="eastAsia" w:asciiTheme="majorEastAsia" w:hAnsiTheme="majorEastAsia" w:cstheme="majorEastAsia"/>
          <w:sz w:val="30"/>
          <w:szCs w:val="30"/>
        </w:rPr>
        <w:t>学院</w:t>
      </w:r>
      <w:r>
        <w:rPr>
          <w:rFonts w:hint="eastAsia" w:asciiTheme="majorEastAsia" w:hAnsiTheme="majorEastAsia" w:cstheme="majorEastAsia"/>
          <w:sz w:val="30"/>
          <w:szCs w:val="30"/>
          <w:shd w:val="clear" w:color="auto" w:fill="FFFFFF"/>
        </w:rPr>
        <w:t>2023年度业绩简表</w:t>
      </w:r>
      <w:bookmarkEnd w:id="25"/>
    </w:p>
    <w:tbl>
      <w:tblPr>
        <w:tblStyle w:val="13"/>
        <w:tblW w:w="50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1"/>
        <w:gridCol w:w="2625"/>
        <w:gridCol w:w="2421"/>
        <w:gridCol w:w="1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006" w:type="pct"/>
            <w:vAlign w:val="center"/>
          </w:tcPr>
          <w:p>
            <w:pPr>
              <w:jc w:val="both"/>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单位名称</w:t>
            </w:r>
          </w:p>
        </w:tc>
        <w:tc>
          <w:tcPr>
            <w:tcW w:w="1517" w:type="pct"/>
            <w:vAlign w:val="center"/>
          </w:tcPr>
          <w:p>
            <w:pPr>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物理学院</w:t>
            </w:r>
          </w:p>
        </w:tc>
        <w:tc>
          <w:tcPr>
            <w:tcW w:w="1399" w:type="pct"/>
            <w:vAlign w:val="center"/>
          </w:tcPr>
          <w:p>
            <w:pPr>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单位职工数</w:t>
            </w:r>
          </w:p>
        </w:tc>
        <w:tc>
          <w:tcPr>
            <w:tcW w:w="1077" w:type="pct"/>
            <w:vAlign w:val="center"/>
          </w:tcPr>
          <w:p>
            <w:pPr>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8</w:t>
            </w:r>
            <w:r>
              <w:rPr>
                <w:rFonts w:ascii="仿宋" w:hAnsi="仿宋" w:eastAsia="仿宋"/>
                <w:b/>
                <w:color w:val="000000" w:themeColor="text1"/>
                <w:sz w:val="24"/>
                <w:szCs w:val="24"/>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1" w:hRule="atLeast"/>
        </w:trPr>
        <w:tc>
          <w:tcPr>
            <w:tcW w:w="5000" w:type="pct"/>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一、党建与思想政治等相关工作</w:t>
            </w:r>
          </w:p>
          <w:p>
            <w:pPr>
              <w:pStyle w:val="20"/>
              <w:keepNext w:val="0"/>
              <w:keepLines w:val="0"/>
              <w:pageBreakBefore w:val="0"/>
              <w:widowControl w:val="0"/>
              <w:numPr>
                <w:ilvl w:val="0"/>
                <w:numId w:val="0"/>
              </w:numPr>
              <w:tabs>
                <w:tab w:val="left" w:pos="1213"/>
              </w:tabs>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切实履行党建工作主体责任，完成建章立制。</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深入学习宣传贯彻党的二十大精神，开展校长、专家讲思政课和党课活动；获批合肥工业大学哲学社会科学培育计划项目1项，党支部特色活动项目1项， “双一流”文化传承创新项目1项。</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应用物理学本科生党支部获评“省级样板支部”，并获“学习宣传贯彻党的二十大精神”征文一等奖，合肥工业大学第二届“校长奖”，“十佳大学生党员”。</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t>设计学习贯彻习近平新时代中国特色社会主义思想主题教育路线图，规划完成“一二三四五”工程。 </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1"/>
                <w:szCs w:val="21"/>
                <w14:textFill>
                  <w14:solidFill>
                    <w14:schemeClr w14:val="tx1"/>
                  </w14:solidFill>
                </w14:textFill>
              </w:rPr>
              <w:t>完成师德集中学习教育，全面落实从严治党和意识形态工作责任制，开展党风廉政、师德师风、保密工作警示教育。</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z w:val="21"/>
                <w:szCs w:val="21"/>
                <w14:textFill>
                  <w14:solidFill>
                    <w14:schemeClr w14:val="tx1"/>
                  </w14:solidFill>
                </w14:textFill>
              </w:rPr>
              <w:t>面向六安马头镇初中、集贤社区等开展科普活动，打造党建特色品牌，完成乡村振兴、离退休、工会等群团工作。</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二、教学工作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1.</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申报量子信息科学本科专业，筹划与中国科学技术大学以某种方式联合培养。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完成应用物理学2023版人才培养方案修订，完成大学物理和大学物理实验系列课程教学大纲修订。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3.</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多措并举，全员出动，加强本科招生宣传工作，2023年获招生宣传优秀单位。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4.</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获批国家级大创项目1项，省级3项，校级9项。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5.</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获全国大学生物理创新（教学）赛一等奖6项，二等奖4个。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6.</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获“互联网+”大赛省级铜奖1项，校级奖8项。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7.</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获安徽省第四届大学生物理学术竞赛一等奖2项，二等奖2项。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8.</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获批教育部产学协同育人项目2项、省级本科质量工程项目6项，省级研究生教育质量工程3项、校级课程规划设计项目3项。1项省级课程思政示范课程结题优秀。</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三、科研工作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新增获批立项项目共计21项，其中：主持国家自然科学基金面上项目1项、青年项目6项，参与重大研究计划1项（到账经费60万），参与科技部国家重点研发计划1项（到账经费50万），主持省部级项目3项以及企业委托类项目7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在研项目合同经费共2546.2万元，本年度截止2023年11月底到账经费1132.8万元。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本年度已发表SCI论文53篇，包括1区9篇、2区21篇（数据含有非工大一单位）；高水平论文取得历史性突破，其中在国际物理学顶级期刊《Physical Review Letters》首次以合肥工业大学为第一单位发表学术论文2篇，在国际综合类顶级期刊《Nature Materials》、《Nature Communications》各发表学术论文1篇（均已接受、未发表）完成本年度物理学院双一流建设项目。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t>申请发明专利6项，获授权发明专利4项。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5.</w:t>
            </w:r>
            <w:r>
              <w:rPr>
                <w:rFonts w:hint="eastAsia" w:asciiTheme="minorEastAsia" w:hAnsiTheme="minorEastAsia" w:eastAsiaTheme="minorEastAsia" w:cstheme="minorEastAsia"/>
                <w:color w:val="000000" w:themeColor="text1"/>
                <w:sz w:val="21"/>
                <w:szCs w:val="21"/>
                <w14:textFill>
                  <w14:solidFill>
                    <w14:schemeClr w14:val="tx1"/>
                  </w14:solidFill>
                </w14:textFill>
              </w:rPr>
              <w:t>与杭州丰禾石油科技有限公司、株洲中车时代半导体有限公司、南京洛普股份有限公司等企业签订了校企合作协议，深化产学研融合，推进校企联合育人。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6.</w:t>
            </w:r>
            <w:r>
              <w:rPr>
                <w:rFonts w:hint="eastAsia" w:asciiTheme="minorEastAsia" w:hAnsiTheme="minorEastAsia" w:eastAsiaTheme="minorEastAsia" w:cstheme="minorEastAsia"/>
                <w:color w:val="000000" w:themeColor="text1"/>
                <w:sz w:val="21"/>
                <w:szCs w:val="21"/>
                <w14:textFill>
                  <w14:solidFill>
                    <w14:schemeClr w14:val="tx1"/>
                  </w14:solidFill>
                </w14:textFill>
              </w:rPr>
              <w:t>承办国家重点研发计划“基于自旋体系量子增强磁力计的研究”项目中期总结会议。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7.</w:t>
            </w:r>
            <w:r>
              <w:rPr>
                <w:rFonts w:hint="eastAsia" w:asciiTheme="minorEastAsia" w:hAnsiTheme="minorEastAsia" w:eastAsiaTheme="minorEastAsia" w:cstheme="minorEastAsia"/>
                <w:color w:val="000000" w:themeColor="text1"/>
                <w:sz w:val="21"/>
                <w:szCs w:val="21"/>
                <w14:textFill>
                  <w14:solidFill>
                    <w14:schemeClr w14:val="tx1"/>
                  </w14:solidFill>
                </w14:textFill>
              </w:rPr>
              <w:t>组织专题学术报告30多场。邀请国内知名专家和优秀青年学者开展学术交流，包括中国科学技术大学周正威教授、吉林大学秦冠仕教授、东北大学程同蕾教授、华中科技大学白彦峥教授、中国科学院大学Rudolf Podgornik教授和上海大学丁虎研究员等。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8.</w:t>
            </w:r>
            <w:r>
              <w:rPr>
                <w:rFonts w:hint="eastAsia" w:asciiTheme="minorEastAsia" w:hAnsiTheme="minorEastAsia" w:eastAsiaTheme="minorEastAsia" w:cstheme="minorEastAsia"/>
                <w:color w:val="000000" w:themeColor="text1"/>
                <w:sz w:val="21"/>
                <w:szCs w:val="21"/>
                <w14:textFill>
                  <w14:solidFill>
                    <w14:schemeClr w14:val="tx1"/>
                  </w14:solidFill>
                </w14:textFill>
              </w:rPr>
              <w:t>完成本年度物理学院“双一流”基础学科建设项目，包括凝聚态物理实验平台、量子平台和光电子平台建设。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9.</w:t>
            </w:r>
            <w:r>
              <w:rPr>
                <w:rFonts w:hint="eastAsia" w:asciiTheme="minorEastAsia" w:hAnsiTheme="minorEastAsia" w:eastAsiaTheme="minorEastAsia" w:cstheme="minorEastAsia"/>
                <w:color w:val="000000" w:themeColor="text1"/>
                <w:sz w:val="21"/>
                <w:szCs w:val="21"/>
                <w14:textFill>
                  <w14:solidFill>
                    <w14:schemeClr w14:val="tx1"/>
                  </w14:solidFill>
                </w14:textFill>
              </w:rPr>
              <w:t>深入推进科研管理的制度化建设，完善了多项科研管理的相关政策，制定了院企联合实验室管理办法与实施细则。</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四、</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学科建设与研究生工作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组织开展并完成了“量子信息科学”本科专业的申请，预计2024年招生。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获批电子信息工程硕士“新一代电子信息技术（含量子技术等）”非全日制招生培养资格。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扎实推进“物理学”一级学科博士点申报，积极联合校内相关学科优势资源，不断完善申报建设方案，并多次邀请国内专家指导修改，目前申报准备工作已经完成。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t>加大研究生招生宣传，物理学、光学工程、新一代电子信息技术（含量子技术等）的录取人数分别为18、17和29。</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5.</w:t>
            </w:r>
            <w:r>
              <w:rPr>
                <w:rFonts w:hint="eastAsia" w:asciiTheme="minorEastAsia" w:hAnsiTheme="minorEastAsia" w:eastAsiaTheme="minorEastAsia" w:cstheme="minorEastAsia"/>
                <w:color w:val="000000" w:themeColor="text1"/>
                <w:sz w:val="21"/>
                <w:szCs w:val="21"/>
                <w14:textFill>
                  <w14:solidFill>
                    <w14:schemeClr w14:val="tx1"/>
                  </w14:solidFill>
                </w14:textFill>
              </w:rPr>
              <w:t>开展研究生学术活动，提升研究生学术创新能力和培养质量。</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五、</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人才与师资工作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拓展人才引进渠道，参加“2023年国际青年学者云论坛”，负责物理学院分论坛。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参加学校人事处组织的赴澳大利亚和新西兰人才招聘宣传。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2023年度学院共引进7名高层次人才，其中成功引进全职斛兵学者II类教授1名、黄山学者优秀青年2名、黄山学者学术骨干1名、全职特任教授1名，还外聘了11位兼职教师。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t>积极组织人才项目申报，本年度推荐申报“长江学者奖励计划”讲席学者1人次、申报杰出人才项目1人次、申报领军人才项目1人次、申报青年拔尖人才青年学者项目1人次、申报青年拔尖人才青年教学名师项目1人次、申报江淮人才杰出项目1人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5.</w:t>
            </w:r>
            <w:r>
              <w:rPr>
                <w:rFonts w:hint="eastAsia" w:asciiTheme="minorEastAsia" w:hAnsiTheme="minorEastAsia" w:eastAsiaTheme="minorEastAsia" w:cstheme="minorEastAsia"/>
                <w:color w:val="000000" w:themeColor="text1"/>
                <w:sz w:val="21"/>
                <w:szCs w:val="21"/>
                <w14:textFill>
                  <w14:solidFill>
                    <w14:schemeClr w14:val="tx1"/>
                  </w14:solidFill>
                </w14:textFill>
              </w:rPr>
              <w:t>积极组织海外优青申报，目前已确定2位申报人选。</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6.</w:t>
            </w:r>
            <w:r>
              <w:rPr>
                <w:rFonts w:hint="eastAsia" w:asciiTheme="minorEastAsia" w:hAnsiTheme="minorEastAsia" w:eastAsiaTheme="minorEastAsia" w:cstheme="minorEastAsia"/>
                <w:color w:val="000000" w:themeColor="text1"/>
                <w:sz w:val="21"/>
                <w:szCs w:val="21"/>
                <w14:textFill>
                  <w14:solidFill>
                    <w14:schemeClr w14:val="tx1"/>
                  </w14:solidFill>
                </w14:textFill>
              </w:rPr>
              <w:t>提升教师队伍建设水平，学院教师获批安徽省创新人才项目1名和青年项目1名。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7.</w:t>
            </w:r>
            <w:r>
              <w:rPr>
                <w:rFonts w:hint="eastAsia" w:asciiTheme="minorEastAsia" w:hAnsiTheme="minorEastAsia" w:eastAsiaTheme="minorEastAsia" w:cstheme="minorEastAsia"/>
                <w:color w:val="000000" w:themeColor="text1"/>
                <w:sz w:val="21"/>
                <w:szCs w:val="21"/>
                <w14:textFill>
                  <w14:solidFill>
                    <w14:schemeClr w14:val="tx1"/>
                  </w14:solidFill>
                </w14:textFill>
              </w:rPr>
              <w:t>2023年累计收到应聘简历100余份，组织高质量面试3场，合计面试23人，其中人才引进5人、实验教师2人。2023年报到入职7人。引进荷兰籍全职外教1名。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8.</w:t>
            </w:r>
            <w:r>
              <w:rPr>
                <w:rFonts w:hint="eastAsia" w:asciiTheme="minorEastAsia" w:hAnsiTheme="minorEastAsia" w:eastAsiaTheme="minorEastAsia" w:cstheme="minorEastAsia"/>
                <w:color w:val="000000" w:themeColor="text1"/>
                <w:sz w:val="21"/>
                <w:szCs w:val="21"/>
                <w14:textFill>
                  <w14:solidFill>
                    <w14:schemeClr w14:val="tx1"/>
                  </w14:solidFill>
                </w14:textFill>
              </w:rPr>
              <w:t>2023年申报正高职称2人、副高职称4人、中级职称2人，参加新入职教师岗前培训10人，取得安徽省高等学校教师资格6人。</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lang w:eastAsia="zh-CN"/>
                <w14:textFill>
                  <w14:solidFill>
                    <w14:schemeClr w14:val="tx1"/>
                  </w14:solidFill>
                </w14:textFill>
              </w:rPr>
              <w:t>六、</w:t>
            </w:r>
            <w:r>
              <w:rPr>
                <w:rFonts w:hint="eastAsia" w:asciiTheme="minorEastAsia" w:hAnsiTheme="minorEastAsia" w:eastAsiaTheme="minorEastAsia" w:cstheme="minorEastAsia"/>
                <w:b/>
                <w:color w:val="000000" w:themeColor="text1"/>
                <w:sz w:val="21"/>
                <w:szCs w:val="21"/>
                <w14:textFill>
                  <w14:solidFill>
                    <w14:schemeClr w14:val="tx1"/>
                  </w14:solidFill>
                </w14:textFill>
              </w:rPr>
              <w:t>学生工作</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应用物理学本科生党支部2023年7月被认定为安徽省第二批样板支部，同时被安徽省教育厅推荐为国家级样板党支部报送教育部思政司。</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获批立项2023年度暑期实践国家级重点团队1支、省级重点团队1支、校级重点团队5支，最终获评2支优秀团队、4名优秀实践标兵，暑期实践成果获得二等奖3项、三等奖6项。学院三下乡在国家级和省级媒体平台报道宣传11次，市、县等地方媒体发布新闻23次，部分团队的活动情况在铜川日报、定西日报、昭通日报等地方党报见刊报道。</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2023年6月，学院与肥西县共建“党团队”一体化育人基地，在集贤社区开展科普教育系列活动，活动受到了人民网、新华网、团省委官网、学习强国平台等主流官媒的报道。</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t>学院实现2023届研究生总体就业落实率100%，2023届本科生总体就业落实率达到了98.08%，2023届本科生和研究生就业落实率均位居全校前列。</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t>5.</w:t>
            </w:r>
            <w:r>
              <w:rPr>
                <w:rFonts w:hint="eastAsia" w:asciiTheme="minorEastAsia" w:hAnsiTheme="minorEastAsia" w:eastAsiaTheme="minorEastAsia" w:cstheme="minorEastAsia"/>
                <w:color w:val="000000" w:themeColor="text1"/>
                <w:sz w:val="21"/>
                <w:szCs w:val="21"/>
                <w14:textFill>
                  <w14:solidFill>
                    <w14:schemeClr w14:val="tx1"/>
                  </w14:solidFill>
                </w14:textFill>
              </w:rPr>
              <w:t>学生创作网络微视频《伟大建党精神》获“场馆里的思政课”校级三等奖；《“理响”三秦》获“行走的思政课”校级三等奖，同时报送教育部参加比赛。</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t>6.</w:t>
            </w:r>
            <w:r>
              <w:rPr>
                <w:rFonts w:hint="eastAsia" w:asciiTheme="minorEastAsia" w:hAnsiTheme="minorEastAsia" w:eastAsiaTheme="minorEastAsia" w:cstheme="minorEastAsia"/>
                <w:color w:val="000000" w:themeColor="text1"/>
                <w:sz w:val="21"/>
                <w:szCs w:val="21"/>
                <w14:textFill>
                  <w14:solidFill>
                    <w14:schemeClr w14:val="tx1"/>
                  </w14:solidFill>
                </w14:textFill>
              </w:rPr>
              <w:t>学生获得大学生物理学术竞赛等各类省级及以上学科竞赛奖励19项，其中获国家级竞赛奖励10项。</w:t>
            </w:r>
          </w:p>
          <w:p>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t>7.</w:t>
            </w:r>
            <w:r>
              <w:rPr>
                <w:rFonts w:hint="eastAsia" w:asciiTheme="minorEastAsia" w:hAnsiTheme="minorEastAsia" w:eastAsiaTheme="minorEastAsia" w:cstheme="minorEastAsia"/>
                <w:color w:val="000000" w:themeColor="text1"/>
                <w:sz w:val="21"/>
                <w:szCs w:val="21"/>
                <w14:textFill>
                  <w14:solidFill>
                    <w14:schemeClr w14:val="tx1"/>
                  </w14:solidFill>
                </w14:textFill>
              </w:rPr>
              <w:t>获得校“学习宣传贯彻党的二十大精神”主题征文比赛中教师组一等奖1人。</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七、国有资产管理与财务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完成物理学院的资产盘点工作。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完成物理学院的公房统计工作并上报学校资产管理处。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完成电物学院分家后物理学院和微电子学院资产调拨的后续工作。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t>2项实验室自制仪器项目顺利结题。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5.</w:t>
            </w:r>
            <w:r>
              <w:rPr>
                <w:rFonts w:hint="eastAsia" w:asciiTheme="minorEastAsia" w:hAnsiTheme="minorEastAsia" w:eastAsiaTheme="minorEastAsia" w:cstheme="minorEastAsia"/>
                <w:color w:val="000000" w:themeColor="text1"/>
                <w:sz w:val="21"/>
                <w:szCs w:val="21"/>
                <w14:textFill>
                  <w14:solidFill>
                    <w14:schemeClr w14:val="tx1"/>
                  </w14:solidFill>
                </w14:textFill>
              </w:rPr>
              <w:t>完成7台大型仪器的验收入账工作并已经投入使用。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6.</w:t>
            </w:r>
            <w:r>
              <w:rPr>
                <w:rFonts w:hint="eastAsia" w:asciiTheme="minorEastAsia" w:hAnsiTheme="minorEastAsia" w:eastAsiaTheme="minorEastAsia" w:cstheme="minorEastAsia"/>
                <w:color w:val="000000" w:themeColor="text1"/>
                <w:sz w:val="21"/>
                <w:szCs w:val="21"/>
                <w14:textFill>
                  <w14:solidFill>
                    <w14:schemeClr w14:val="tx1"/>
                  </w14:solidFill>
                </w14:textFill>
              </w:rPr>
              <w:t>本年度执行的改善办学条件项目全部安装到位。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7.</w:t>
            </w:r>
            <w:r>
              <w:rPr>
                <w:rFonts w:hint="eastAsia" w:asciiTheme="minorEastAsia" w:hAnsiTheme="minorEastAsia" w:eastAsiaTheme="minorEastAsia" w:cstheme="minorEastAsia"/>
                <w:color w:val="000000" w:themeColor="text1"/>
                <w:sz w:val="21"/>
                <w:szCs w:val="21"/>
                <w14:textFill>
                  <w14:solidFill>
                    <w14:schemeClr w14:val="tx1"/>
                  </w14:solidFill>
                </w14:textFill>
              </w:rPr>
              <w:t>完成本年度本科教学实验室数据统计上报和大型仪器设备数据上报工作。</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八、国际化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办理外籍新教师入职，及时传达学校有关通知。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按学校规定规范办理外宾来访手续，如中科院斯洛文尼亚籍专家Rudolf Podgornik教授今年5月、10月两次访问我院。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参与国际会议及学术交流活动十多次。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t>根据国际事务部要求，全面无遗漏统计在境外的师生情况。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5.</w:t>
            </w:r>
            <w:r>
              <w:rPr>
                <w:rFonts w:hint="eastAsia" w:asciiTheme="minorEastAsia" w:hAnsiTheme="minorEastAsia" w:eastAsiaTheme="minorEastAsia" w:cstheme="minorEastAsia"/>
                <w:color w:val="000000" w:themeColor="text1"/>
                <w:sz w:val="21"/>
                <w:szCs w:val="21"/>
                <w14:textFill>
                  <w14:solidFill>
                    <w14:schemeClr w14:val="tx1"/>
                  </w14:solidFill>
                </w14:textFill>
              </w:rPr>
              <w:t>审核学院教职工的出境访问事项。</w:t>
            </w:r>
          </w:p>
          <w:p>
            <w:pPr>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九、</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学院运行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认真贯彻执行学校决定，严格遵守“三重一大”制度，确保各项事务正常运转。</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组织教师岗前培训、职称申报、岗位分级聘任等。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协调安排学院领导工作接待日。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textAlignment w:val="auto"/>
              <w:rPr>
                <w:rFonts w:cs="Times New Roman" w:asciiTheme="minorEastAsia" w:hAnsi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lang w:val="en-US" w:eastAsia="zh-CN" w:bidi="ar-SA"/>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t>制定学院公房管理制度。</w:t>
            </w:r>
          </w:p>
        </w:tc>
      </w:tr>
    </w:tbl>
    <w:p>
      <w:pPr>
        <w:rPr>
          <w:rFonts w:ascii="黑体" w:hAnsi="黑体" w:eastAsia="黑体" w:cs="黑体"/>
          <w:bCs/>
          <w:sz w:val="18"/>
          <w:szCs w:val="18"/>
        </w:rPr>
      </w:pPr>
      <w:r>
        <w:rPr>
          <w:rFonts w:ascii="黑体" w:hAnsi="黑体" w:eastAsia="黑体" w:cs="黑体"/>
          <w:bCs/>
          <w:sz w:val="18"/>
          <w:szCs w:val="18"/>
        </w:rPr>
        <w:br w:type="page"/>
      </w:r>
    </w:p>
    <w:p>
      <w:pPr>
        <w:pStyle w:val="4"/>
        <w:rPr>
          <w:rFonts w:hint="eastAsia" w:ascii="宋体" w:hAnsi="宋体" w:eastAsia="宋体" w:cs="宋体"/>
          <w:shd w:val="clear" w:color="auto" w:fill="FFFFFF"/>
        </w:rPr>
      </w:pPr>
      <w:bookmarkStart w:id="26" w:name="_Toc2733"/>
      <w:r>
        <w:rPr>
          <w:rFonts w:hint="eastAsia" w:ascii="宋体" w:hAnsi="宋体" w:eastAsia="宋体" w:cs="宋体"/>
          <w:shd w:val="clear" w:color="auto" w:fill="FFFFFF"/>
        </w:rPr>
        <w:t>汽车与交通工程学院2023年度业绩简表</w:t>
      </w:r>
      <w:bookmarkEnd w:id="26"/>
    </w:p>
    <w:tbl>
      <w:tblPr>
        <w:tblStyle w:val="13"/>
        <w:tblW w:w="8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sz w:val="24"/>
                <w:szCs w:val="21"/>
              </w:rPr>
            </w:pPr>
            <w:r>
              <w:rPr>
                <w:rFonts w:hint="eastAsia" w:ascii="仿宋" w:hAnsi="仿宋" w:eastAsia="仿宋"/>
                <w:b/>
                <w:sz w:val="24"/>
                <w:szCs w:val="21"/>
              </w:rPr>
              <w:t>单位名称</w:t>
            </w:r>
          </w:p>
        </w:tc>
        <w:tc>
          <w:tcPr>
            <w:tcW w:w="2976" w:type="dxa"/>
            <w:vAlign w:val="center"/>
          </w:tcPr>
          <w:p>
            <w:pPr>
              <w:jc w:val="center"/>
              <w:rPr>
                <w:rFonts w:ascii="仿宋" w:hAnsi="仿宋" w:eastAsia="仿宋"/>
                <w:b/>
                <w:sz w:val="24"/>
                <w:szCs w:val="21"/>
              </w:rPr>
            </w:pPr>
            <w:r>
              <w:rPr>
                <w:rFonts w:hint="eastAsia" w:ascii="仿宋" w:hAnsi="仿宋" w:eastAsia="仿宋"/>
                <w:b/>
                <w:sz w:val="24"/>
                <w:szCs w:val="21"/>
              </w:rPr>
              <w:t>汽车与交通工程学院</w:t>
            </w:r>
          </w:p>
        </w:tc>
        <w:tc>
          <w:tcPr>
            <w:tcW w:w="1747" w:type="dxa"/>
            <w:vAlign w:val="center"/>
          </w:tcPr>
          <w:p>
            <w:pPr>
              <w:jc w:val="center"/>
              <w:rPr>
                <w:rFonts w:ascii="仿宋" w:hAnsi="仿宋" w:eastAsia="仿宋"/>
                <w:b/>
                <w:sz w:val="24"/>
                <w:szCs w:val="21"/>
              </w:rPr>
            </w:pPr>
            <w:r>
              <w:rPr>
                <w:rFonts w:hint="eastAsia" w:ascii="仿宋" w:hAnsi="仿宋" w:eastAsia="仿宋"/>
                <w:b/>
                <w:sz w:val="24"/>
                <w:szCs w:val="21"/>
              </w:rPr>
              <w:t>单位职工数</w:t>
            </w:r>
          </w:p>
        </w:tc>
        <w:tc>
          <w:tcPr>
            <w:tcW w:w="2274" w:type="dxa"/>
            <w:vAlign w:val="center"/>
          </w:tcPr>
          <w:p>
            <w:pPr>
              <w:jc w:val="center"/>
              <w:rPr>
                <w:rFonts w:ascii="仿宋" w:hAnsi="仿宋" w:eastAsia="仿宋"/>
                <w:b/>
                <w:sz w:val="24"/>
                <w:szCs w:val="21"/>
              </w:rPr>
            </w:pPr>
            <w:r>
              <w:rPr>
                <w:rFonts w:hint="eastAsia" w:ascii="仿宋" w:hAnsi="仿宋" w:eastAsia="仿宋"/>
                <w:b/>
                <w:sz w:val="24"/>
                <w:szCs w:val="21"/>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665"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1" w:firstLineChars="200"/>
              <w:textAlignment w:val="auto"/>
              <w:rPr>
                <w:rFonts w:asciiTheme="minorEastAsia" w:hAnsiTheme="minorEastAsia" w:cstheme="minorEastAsia"/>
                <w:b/>
                <w:sz w:val="18"/>
                <w:szCs w:val="18"/>
              </w:rPr>
            </w:pPr>
            <w:r>
              <w:rPr>
                <w:rFonts w:hint="eastAsia" w:asciiTheme="minorEastAsia" w:hAnsiTheme="minorEastAsia" w:eastAsiaTheme="minorEastAsia" w:cstheme="minorEastAsia"/>
                <w:b/>
                <w:kern w:val="2"/>
                <w:sz w:val="18"/>
                <w:szCs w:val="18"/>
                <w:lang w:val="en-US" w:eastAsia="zh-CN" w:bidi="ar-SA"/>
              </w:rPr>
              <w:t>一、</w:t>
            </w:r>
            <w:r>
              <w:rPr>
                <w:rFonts w:hint="eastAsia" w:asciiTheme="minorEastAsia" w:hAnsiTheme="minorEastAsia" w:cstheme="minorEastAsia"/>
                <w:b/>
                <w:sz w:val="18"/>
                <w:szCs w:val="18"/>
              </w:rPr>
              <w:t>党建与思想政治等相关工作</w:t>
            </w:r>
          </w:p>
          <w:p>
            <w:pPr>
              <w:pStyle w:val="2"/>
              <w:keepNext w:val="0"/>
              <w:keepLines w:val="0"/>
              <w:pageBreakBefore w:val="0"/>
              <w:widowControl w:val="0"/>
              <w:kinsoku/>
              <w:wordWrap/>
              <w:overflowPunct/>
              <w:topLinePunct w:val="0"/>
              <w:autoSpaceDE/>
              <w:autoSpaceDN/>
              <w:bidi w:val="0"/>
              <w:spacing w:line="240" w:lineRule="exact"/>
              <w:ind w:firstLine="360" w:firstLineChars="200"/>
              <w:jc w:val="left"/>
              <w:textAlignment w:val="auto"/>
              <w:rPr>
                <w:sz w:val="18"/>
                <w:szCs w:val="18"/>
                <w:lang w:eastAsia="zh-Hans"/>
              </w:rPr>
            </w:pPr>
            <w:r>
              <w:rPr>
                <w:rFonts w:hint="eastAsia"/>
                <w:sz w:val="18"/>
                <w:szCs w:val="18"/>
              </w:rPr>
              <w:t>1.</w:t>
            </w:r>
            <w:r>
              <w:rPr>
                <w:rFonts w:hint="eastAsia"/>
                <w:sz w:val="18"/>
                <w:szCs w:val="18"/>
                <w:lang w:eastAsia="zh-Hans"/>
              </w:rPr>
              <w:t>学习贯彻党的二十大精神，落实主题教育工作部署。检视并解决18项制约学院发展的难题，全体党员办实事、办好事441件。</w:t>
            </w:r>
          </w:p>
          <w:p>
            <w:pPr>
              <w:pStyle w:val="2"/>
              <w:keepNext w:val="0"/>
              <w:keepLines w:val="0"/>
              <w:pageBreakBefore w:val="0"/>
              <w:widowControl w:val="0"/>
              <w:kinsoku/>
              <w:wordWrap/>
              <w:overflowPunct/>
              <w:topLinePunct w:val="0"/>
              <w:autoSpaceDE/>
              <w:autoSpaceDN/>
              <w:bidi w:val="0"/>
              <w:spacing w:line="240" w:lineRule="exact"/>
              <w:ind w:firstLine="360" w:firstLineChars="200"/>
              <w:jc w:val="left"/>
              <w:textAlignment w:val="auto"/>
              <w:rPr>
                <w:bCs/>
                <w:sz w:val="18"/>
                <w:szCs w:val="18"/>
              </w:rPr>
            </w:pPr>
            <w:r>
              <w:rPr>
                <w:rFonts w:hint="eastAsia"/>
                <w:sz w:val="18"/>
                <w:szCs w:val="18"/>
              </w:rPr>
              <w:t>2.坚持理论联系实际，不断提升干事创业能力。院党委理论学习中心组全年集体学习13次，实地研学1次，</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Theme="minorEastAsia" w:hAnsiTheme="minorEastAsia" w:cstheme="minorEastAsia"/>
                <w:bCs/>
                <w:sz w:val="18"/>
                <w:szCs w:val="18"/>
              </w:rPr>
            </w:pPr>
            <w:r>
              <w:rPr>
                <w:rFonts w:hint="eastAsia" w:asciiTheme="minorEastAsia" w:hAnsiTheme="minorEastAsia" w:cstheme="minorEastAsia"/>
                <w:sz w:val="18"/>
                <w:szCs w:val="18"/>
              </w:rPr>
              <w:t>3.扎实开展师德师风建设学习教育。</w:t>
            </w:r>
            <w:r>
              <w:rPr>
                <w:rFonts w:hint="eastAsia" w:asciiTheme="minorEastAsia" w:hAnsiTheme="minorEastAsia" w:cstheme="minorEastAsia"/>
                <w:bCs/>
                <w:sz w:val="18"/>
                <w:szCs w:val="18"/>
              </w:rPr>
              <w:t>落实师德第一标准，</w:t>
            </w:r>
            <w:r>
              <w:rPr>
                <w:rFonts w:hint="eastAsia" w:asciiTheme="minorEastAsia" w:hAnsiTheme="minorEastAsia" w:cstheme="minorEastAsia"/>
                <w:sz w:val="18"/>
                <w:szCs w:val="18"/>
              </w:rPr>
              <w:t>对19名新进教师、教师职称晋升和教材出版与选用等进行政治合格性审查；</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Theme="minorEastAsia" w:hAnsiTheme="minorEastAsia" w:cstheme="minorEastAsia"/>
                <w:sz w:val="18"/>
                <w:szCs w:val="18"/>
              </w:rPr>
            </w:pPr>
            <w:r>
              <w:rPr>
                <w:rFonts w:hint="eastAsia" w:asciiTheme="minorEastAsia" w:hAnsiTheme="minorEastAsia" w:cstheme="minorEastAsia"/>
                <w:sz w:val="18"/>
                <w:szCs w:val="18"/>
              </w:rPr>
              <w:t>4.抓好师生思想政治工作。强化理论武装。抓好基层支部建设和党员管理。加强党支部建设。对7个党支部13名支委进行调整；建立党支部工作月报制度；举办5次支部书记抓党建能力的专题培训；发展党员115名，预备党员转正100名，转接党组织关系223名。</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Theme="minorEastAsia" w:hAnsiTheme="minorEastAsia" w:cstheme="minorEastAsia"/>
                <w:sz w:val="18"/>
                <w:szCs w:val="18"/>
              </w:rPr>
            </w:pPr>
            <w:r>
              <w:rPr>
                <w:rFonts w:hint="eastAsia" w:asciiTheme="minorEastAsia" w:hAnsiTheme="minorEastAsia" w:cstheme="minorEastAsia"/>
                <w:sz w:val="18"/>
                <w:szCs w:val="18"/>
              </w:rPr>
              <w:t>5.加强制度建设，制定《汽车与交通工程学院系主任（副主任）选拔任用办法》等文件6项。</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Theme="minorEastAsia" w:hAnsiTheme="minorEastAsia" w:cstheme="minorEastAsia"/>
                <w:sz w:val="18"/>
                <w:szCs w:val="18"/>
              </w:rPr>
            </w:pPr>
            <w:r>
              <w:rPr>
                <w:rFonts w:hint="eastAsia" w:asciiTheme="minorEastAsia" w:hAnsiTheme="minorEastAsia" w:cstheme="minorEastAsia"/>
                <w:sz w:val="18"/>
                <w:szCs w:val="18"/>
              </w:rPr>
              <w:t>6.扎实做好安全稳定工作。加强宣传阵地建设和管控，掌握意识形态领域工作的领导权。加强对学院网站和新媒体工作群组等的管理。</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Theme="minorEastAsia" w:hAnsiTheme="minorEastAsia" w:cstheme="minorEastAsia"/>
                <w:b/>
                <w:sz w:val="18"/>
                <w:szCs w:val="18"/>
              </w:rPr>
            </w:pPr>
            <w:r>
              <w:rPr>
                <w:rFonts w:hint="eastAsia" w:asciiTheme="minorEastAsia" w:hAnsiTheme="minorEastAsia" w:cstheme="minorEastAsia"/>
                <w:sz w:val="18"/>
                <w:szCs w:val="18"/>
              </w:rPr>
              <w:t>7.抓党风廉政建设。开展警示教育。巩固整改成果。政治监督融入日常工作全过程。</w:t>
            </w:r>
          </w:p>
          <w:p>
            <w:pPr>
              <w:pStyle w:val="2"/>
              <w:keepNext w:val="0"/>
              <w:keepLines w:val="0"/>
              <w:pageBreakBefore w:val="0"/>
              <w:widowControl w:val="0"/>
              <w:kinsoku/>
              <w:wordWrap/>
              <w:overflowPunct/>
              <w:topLinePunct w:val="0"/>
              <w:autoSpaceDE/>
              <w:autoSpaceDN/>
              <w:bidi w:val="0"/>
              <w:spacing w:line="240" w:lineRule="exact"/>
              <w:ind w:left="0" w:leftChars="0" w:firstLine="360" w:firstLineChars="200"/>
              <w:jc w:val="left"/>
              <w:textAlignment w:val="auto"/>
              <w:rPr>
                <w:bCs/>
                <w:sz w:val="18"/>
                <w:szCs w:val="18"/>
              </w:rPr>
            </w:pPr>
            <w:r>
              <w:rPr>
                <w:rFonts w:hint="eastAsia"/>
                <w:sz w:val="18"/>
                <w:szCs w:val="18"/>
              </w:rPr>
              <w:t>8.做好保密、统战、群团等工作，争取校友资源。2023年学院收到校友各类捐赠90万元。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1" w:firstLineChars="200"/>
              <w:textAlignment w:val="auto"/>
              <w:rPr>
                <w:rFonts w:asciiTheme="minorEastAsia" w:hAnsiTheme="minorEastAsia" w:cstheme="minorEastAsia"/>
                <w:b/>
                <w:sz w:val="18"/>
                <w:szCs w:val="18"/>
              </w:rPr>
            </w:pPr>
            <w:r>
              <w:rPr>
                <w:rFonts w:hint="eastAsia" w:asciiTheme="minorEastAsia" w:hAnsiTheme="minorEastAsia" w:eastAsiaTheme="minorEastAsia" w:cstheme="minorEastAsia"/>
                <w:b/>
                <w:kern w:val="2"/>
                <w:sz w:val="18"/>
                <w:szCs w:val="18"/>
                <w:lang w:val="en-US" w:eastAsia="zh-CN" w:bidi="ar-SA"/>
              </w:rPr>
              <w:t>二、</w:t>
            </w:r>
            <w:r>
              <w:rPr>
                <w:rFonts w:hint="eastAsia" w:asciiTheme="minorEastAsia" w:hAnsiTheme="minorEastAsia" w:cstheme="minorEastAsia"/>
                <w:b/>
                <w:sz w:val="18"/>
                <w:szCs w:val="18"/>
              </w:rPr>
              <w:t>教学工作</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rPr>
            </w:pPr>
            <w:r>
              <w:rPr>
                <w:rFonts w:hint="eastAsia" w:asciiTheme="minorEastAsia" w:hAnsiTheme="minorEastAsia" w:cstheme="minorEastAsia"/>
                <w:bCs/>
                <w:sz w:val="18"/>
                <w:szCs w:val="18"/>
              </w:rPr>
              <w:t>1</w:t>
            </w:r>
            <w:r>
              <w:rPr>
                <w:rFonts w:hint="eastAsia" w:asciiTheme="minorEastAsia" w:hAnsiTheme="minorEastAsia" w:cstheme="minorEastAsia"/>
                <w:bCs/>
                <w:sz w:val="18"/>
                <w:szCs w:val="18"/>
                <w:lang w:eastAsia="zh-Hans"/>
              </w:rPr>
              <w:t>.</w:t>
            </w:r>
            <w:r>
              <w:rPr>
                <w:rFonts w:hint="eastAsia" w:asciiTheme="minorEastAsia" w:hAnsiTheme="minorEastAsia" w:cstheme="minorEastAsia"/>
                <w:kern w:val="0"/>
                <w:sz w:val="18"/>
                <w:szCs w:val="18"/>
              </w:rPr>
              <w:t>完成2023版教学计划修订及论证工作和新增课程与大纲的修订</w:t>
            </w:r>
            <w:r>
              <w:rPr>
                <w:rFonts w:hint="eastAsia" w:asciiTheme="minorEastAsia" w:hAnsiTheme="minorEastAsia" w:cstheme="minorEastAsia"/>
                <w:bCs/>
                <w:sz w:val="18"/>
                <w:szCs w:val="18"/>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rPr>
            </w:pPr>
            <w:r>
              <w:rPr>
                <w:rFonts w:hint="eastAsia" w:asciiTheme="minorEastAsia" w:hAnsiTheme="minorEastAsia" w:cstheme="minorEastAsia"/>
                <w:bCs/>
                <w:sz w:val="18"/>
                <w:szCs w:val="18"/>
              </w:rPr>
              <w:t>2</w:t>
            </w:r>
            <w:r>
              <w:rPr>
                <w:rFonts w:hint="eastAsia" w:asciiTheme="minorEastAsia" w:hAnsiTheme="minorEastAsia" w:cstheme="minorEastAsia"/>
                <w:bCs/>
                <w:sz w:val="18"/>
                <w:szCs w:val="18"/>
                <w:lang w:eastAsia="zh-Hans"/>
              </w:rPr>
              <w:t>.</w:t>
            </w:r>
            <w:r>
              <w:rPr>
                <w:rFonts w:hint="eastAsia" w:asciiTheme="minorEastAsia" w:hAnsiTheme="minorEastAsia" w:cstheme="minorEastAsia"/>
                <w:bCs/>
                <w:sz w:val="18"/>
                <w:szCs w:val="18"/>
              </w:rPr>
              <w:t>组织教师开展教学研究改革活动：</w:t>
            </w:r>
            <w:r>
              <w:rPr>
                <w:rFonts w:hint="eastAsia" w:asciiTheme="minorEastAsia" w:hAnsiTheme="minorEastAsia" w:cstheme="minorEastAsia"/>
                <w:kern w:val="0"/>
                <w:sz w:val="18"/>
                <w:szCs w:val="18"/>
              </w:rPr>
              <w:t>推荐《基于成果导向教育（OBE）的交通运输工程类学生培养模式研究》等11项省级质量工程项目和校级质量工程项目，通过学校组织的遴选推荐。</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Theme="minorEastAsia" w:hAnsiTheme="minorEastAsia" w:cstheme="minorEastAsia"/>
                <w:bCs/>
                <w:sz w:val="18"/>
                <w:szCs w:val="18"/>
              </w:rPr>
            </w:pPr>
            <w:r>
              <w:rPr>
                <w:rFonts w:hint="eastAsia" w:asciiTheme="minorEastAsia" w:hAnsiTheme="minorEastAsia" w:cstheme="minorEastAsia"/>
                <w:bCs/>
                <w:sz w:val="18"/>
                <w:szCs w:val="18"/>
              </w:rPr>
              <w:t>3</w:t>
            </w:r>
            <w:r>
              <w:rPr>
                <w:rFonts w:hint="eastAsia" w:asciiTheme="minorEastAsia" w:hAnsiTheme="minorEastAsia" w:cstheme="minorEastAsia"/>
                <w:bCs/>
                <w:sz w:val="18"/>
                <w:szCs w:val="18"/>
                <w:lang w:eastAsia="zh-Hans"/>
              </w:rPr>
              <w:t>.</w:t>
            </w:r>
            <w:r>
              <w:rPr>
                <w:rFonts w:hint="eastAsia" w:asciiTheme="minorEastAsia" w:hAnsiTheme="minorEastAsia" w:cstheme="minorEastAsia"/>
                <w:sz w:val="18"/>
                <w:szCs w:val="18"/>
              </w:rPr>
              <w:t>卢剑伟获批安徽省高端人才引育行动领军人才；吴迪、李书华分获中国汽车工程学会组织的首届全国汽车行业高校青年教师讲课比赛二等奖和优胜奖</w:t>
            </w:r>
            <w:r>
              <w:rPr>
                <w:rFonts w:hint="eastAsia" w:asciiTheme="minorEastAsia" w:hAnsiTheme="minorEastAsia" w:cstheme="minorEastAsia"/>
                <w:bCs/>
                <w:sz w:val="18"/>
                <w:szCs w:val="18"/>
              </w:rPr>
              <w:t>。</w:t>
            </w:r>
          </w:p>
          <w:p>
            <w:pPr>
              <w:pStyle w:val="2"/>
              <w:keepNext w:val="0"/>
              <w:keepLines w:val="0"/>
              <w:pageBreakBefore w:val="0"/>
              <w:widowControl w:val="0"/>
              <w:kinsoku/>
              <w:wordWrap/>
              <w:overflowPunct/>
              <w:topLinePunct w:val="0"/>
              <w:autoSpaceDE/>
              <w:autoSpaceDN/>
              <w:bidi w:val="0"/>
              <w:spacing w:line="240" w:lineRule="exact"/>
              <w:ind w:firstLine="360" w:firstLineChars="200"/>
              <w:jc w:val="left"/>
              <w:textAlignment w:val="auto"/>
              <w:rPr>
                <w:bCs/>
                <w:sz w:val="18"/>
                <w:szCs w:val="18"/>
              </w:rPr>
            </w:pPr>
            <w:r>
              <w:rPr>
                <w:rFonts w:hint="eastAsia"/>
                <w:bCs/>
                <w:sz w:val="18"/>
                <w:szCs w:val="18"/>
              </w:rPr>
              <w:t>4.</w:t>
            </w:r>
            <w:r>
              <w:rPr>
                <w:rFonts w:hint="eastAsia"/>
                <w:sz w:val="18"/>
                <w:szCs w:val="18"/>
              </w:rPr>
              <w:t>提交能源与动力工程专业工程教育专业认证申请报告；车辆工程、交通运输和交通工程三个专业形成年度工程教育认证改进工作报告；继续申办2023级车辆工程创新实验班</w:t>
            </w:r>
            <w:r>
              <w:rPr>
                <w:rFonts w:hint="eastAsia"/>
                <w:bCs/>
                <w:sz w:val="18"/>
                <w:szCs w:val="18"/>
              </w:rPr>
              <w:t>。</w:t>
            </w:r>
          </w:p>
          <w:p>
            <w:pPr>
              <w:pStyle w:val="2"/>
              <w:keepNext w:val="0"/>
              <w:keepLines w:val="0"/>
              <w:pageBreakBefore w:val="0"/>
              <w:widowControl w:val="0"/>
              <w:kinsoku/>
              <w:wordWrap/>
              <w:overflowPunct/>
              <w:topLinePunct w:val="0"/>
              <w:autoSpaceDE/>
              <w:autoSpaceDN/>
              <w:bidi w:val="0"/>
              <w:spacing w:line="240" w:lineRule="exact"/>
              <w:ind w:firstLine="360" w:firstLineChars="200"/>
              <w:jc w:val="left"/>
              <w:textAlignment w:val="auto"/>
              <w:rPr>
                <w:sz w:val="18"/>
                <w:szCs w:val="18"/>
              </w:rPr>
            </w:pPr>
            <w:r>
              <w:rPr>
                <w:rFonts w:hint="eastAsia"/>
                <w:sz w:val="18"/>
                <w:szCs w:val="18"/>
              </w:rPr>
              <w:t>5</w:t>
            </w:r>
            <w:r>
              <w:rPr>
                <w:rFonts w:hint="eastAsia"/>
                <w:sz w:val="18"/>
                <w:szCs w:val="18"/>
                <w:lang w:eastAsia="zh-Hans"/>
              </w:rPr>
              <w:t>.</w:t>
            </w:r>
            <w:r>
              <w:rPr>
                <w:rFonts w:hint="eastAsia"/>
                <w:kern w:val="0"/>
                <w:sz w:val="18"/>
                <w:szCs w:val="18"/>
              </w:rPr>
              <w:t>共计招收本科新生444人；</w:t>
            </w:r>
            <w:r>
              <w:rPr>
                <w:rFonts w:hint="eastAsia"/>
                <w:sz w:val="18"/>
                <w:szCs w:val="18"/>
              </w:rPr>
              <w:t>接收</w:t>
            </w:r>
            <w:r>
              <w:rPr>
                <w:rFonts w:hint="eastAsia"/>
                <w:kern w:val="0"/>
                <w:sz w:val="18"/>
                <w:szCs w:val="18"/>
              </w:rPr>
              <w:t>81</w:t>
            </w:r>
            <w:r>
              <w:rPr>
                <w:rFonts w:hint="eastAsia"/>
                <w:sz w:val="18"/>
                <w:szCs w:val="18"/>
              </w:rPr>
              <w:t>名优秀本科生转入我院。</w:t>
            </w:r>
          </w:p>
          <w:p>
            <w:pPr>
              <w:pStyle w:val="2"/>
              <w:keepNext w:val="0"/>
              <w:keepLines w:val="0"/>
              <w:pageBreakBefore w:val="0"/>
              <w:widowControl w:val="0"/>
              <w:kinsoku/>
              <w:wordWrap/>
              <w:overflowPunct/>
              <w:topLinePunct w:val="0"/>
              <w:autoSpaceDE/>
              <w:autoSpaceDN/>
              <w:bidi w:val="0"/>
              <w:spacing w:line="240" w:lineRule="exact"/>
              <w:ind w:firstLine="360" w:firstLineChars="200"/>
              <w:jc w:val="left"/>
              <w:textAlignment w:val="auto"/>
              <w:rPr>
                <w:bCs/>
                <w:sz w:val="18"/>
                <w:szCs w:val="18"/>
              </w:rPr>
            </w:pPr>
            <w:r>
              <w:rPr>
                <w:rFonts w:hint="eastAsia"/>
                <w:bCs/>
                <w:sz w:val="18"/>
                <w:szCs w:val="18"/>
              </w:rPr>
              <w:t>6</w:t>
            </w:r>
            <w:r>
              <w:rPr>
                <w:rFonts w:hint="eastAsia"/>
                <w:bCs/>
                <w:sz w:val="18"/>
                <w:szCs w:val="18"/>
                <w:lang w:eastAsia="zh-Hans"/>
              </w:rPr>
              <w:t>.</w:t>
            </w:r>
            <w:r>
              <w:rPr>
                <w:rFonts w:hint="eastAsia"/>
                <w:sz w:val="18"/>
                <w:szCs w:val="18"/>
              </w:rPr>
              <w:t>获批大学生创新实验项目国家级7项、省级25项、校级47项。</w:t>
            </w:r>
            <w:r>
              <w:rPr>
                <w:rFonts w:hint="eastAsia"/>
                <w:bCs/>
                <w:sz w:val="18"/>
                <w:szCs w:val="18"/>
              </w:rPr>
              <w:t xml:space="preserve"> </w:t>
            </w:r>
          </w:p>
          <w:p>
            <w:pPr>
              <w:pStyle w:val="2"/>
              <w:keepNext w:val="0"/>
              <w:keepLines w:val="0"/>
              <w:pageBreakBefore w:val="0"/>
              <w:widowControl w:val="0"/>
              <w:kinsoku/>
              <w:wordWrap/>
              <w:overflowPunct/>
              <w:topLinePunct w:val="0"/>
              <w:autoSpaceDE/>
              <w:autoSpaceDN/>
              <w:bidi w:val="0"/>
              <w:spacing w:line="240" w:lineRule="exact"/>
              <w:ind w:firstLine="360" w:firstLineChars="200"/>
              <w:jc w:val="left"/>
              <w:textAlignment w:val="auto"/>
              <w:rPr>
                <w:bCs/>
                <w:sz w:val="18"/>
                <w:szCs w:val="18"/>
              </w:rPr>
            </w:pPr>
            <w:r>
              <w:rPr>
                <w:rFonts w:hint="eastAsia"/>
                <w:bCs/>
                <w:sz w:val="18"/>
                <w:szCs w:val="18"/>
              </w:rPr>
              <w:t>7</w:t>
            </w:r>
            <w:r>
              <w:rPr>
                <w:rFonts w:hint="eastAsia"/>
                <w:bCs/>
                <w:sz w:val="18"/>
                <w:szCs w:val="18"/>
                <w:lang w:eastAsia="zh-Hans"/>
              </w:rPr>
              <w:t>.</w:t>
            </w:r>
            <w:r>
              <w:rPr>
                <w:rFonts w:hint="eastAsia"/>
                <w:sz w:val="18"/>
                <w:szCs w:val="18"/>
              </w:rPr>
              <w:t>2023年有14支队伍115名学生在科技竞赛中获省部级以上奖励，其中A类赛事获奖率14.3%；全国交通运输科技大赛再次斩获一等奖，中国国际大学生创新大赛获得银奖2项。</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1" w:firstLineChars="200"/>
              <w:textAlignment w:val="auto"/>
              <w:rPr>
                <w:rFonts w:asciiTheme="minorEastAsia" w:hAnsiTheme="minorEastAsia" w:cstheme="minorEastAsia"/>
                <w:b/>
                <w:sz w:val="18"/>
                <w:szCs w:val="18"/>
              </w:rPr>
            </w:pPr>
            <w:r>
              <w:rPr>
                <w:rFonts w:hint="eastAsia" w:asciiTheme="minorEastAsia" w:hAnsiTheme="minorEastAsia" w:eastAsiaTheme="minorEastAsia" w:cstheme="minorEastAsia"/>
                <w:b/>
                <w:kern w:val="2"/>
                <w:sz w:val="18"/>
                <w:szCs w:val="18"/>
                <w:lang w:val="en-US" w:eastAsia="zh-CN" w:bidi="ar-SA"/>
              </w:rPr>
              <w:t>三、</w:t>
            </w:r>
            <w:r>
              <w:rPr>
                <w:rFonts w:hint="eastAsia" w:asciiTheme="minorEastAsia" w:hAnsiTheme="minorEastAsia" w:cstheme="minorEastAsia"/>
                <w:b/>
                <w:sz w:val="18"/>
                <w:szCs w:val="18"/>
              </w:rPr>
              <w:t>科研工作</w:t>
            </w:r>
          </w:p>
          <w:p>
            <w:pPr>
              <w:pStyle w:val="2"/>
              <w:keepNext w:val="0"/>
              <w:keepLines w:val="0"/>
              <w:pageBreakBefore w:val="0"/>
              <w:widowControl w:val="0"/>
              <w:numPr>
                <w:ilvl w:val="0"/>
                <w:numId w:val="5"/>
              </w:numPr>
              <w:kinsoku/>
              <w:wordWrap/>
              <w:overflowPunct/>
              <w:topLinePunct w:val="0"/>
              <w:autoSpaceDE/>
              <w:autoSpaceDN/>
              <w:bidi w:val="0"/>
              <w:spacing w:line="240" w:lineRule="exact"/>
              <w:ind w:firstLine="360" w:firstLineChars="200"/>
              <w:jc w:val="left"/>
              <w:textAlignment w:val="auto"/>
              <w:rPr>
                <w:bCs/>
                <w:sz w:val="18"/>
                <w:szCs w:val="18"/>
              </w:rPr>
            </w:pPr>
            <w:r>
              <w:rPr>
                <w:rFonts w:hint="eastAsia"/>
                <w:sz w:val="18"/>
                <w:szCs w:val="18"/>
              </w:rPr>
              <w:t>本年度获批国家级基金项目16项，其中面上项目5项、青年项目10项、国际交流合作项目1项。省部级以上基金项目16项，地市级基金项目2项。新增纵向项目62项，合同金额1981.22万元，到账1639.90万元。</w:t>
            </w:r>
          </w:p>
          <w:p>
            <w:pPr>
              <w:pStyle w:val="2"/>
              <w:keepNext w:val="0"/>
              <w:keepLines w:val="0"/>
              <w:pageBreakBefore w:val="0"/>
              <w:widowControl w:val="0"/>
              <w:numPr>
                <w:ilvl w:val="0"/>
                <w:numId w:val="5"/>
              </w:numPr>
              <w:kinsoku/>
              <w:wordWrap/>
              <w:overflowPunct/>
              <w:topLinePunct w:val="0"/>
              <w:autoSpaceDE/>
              <w:autoSpaceDN/>
              <w:bidi w:val="0"/>
              <w:spacing w:line="240" w:lineRule="exact"/>
              <w:ind w:firstLine="360" w:firstLineChars="200"/>
              <w:jc w:val="left"/>
              <w:textAlignment w:val="auto"/>
              <w:rPr>
                <w:bCs/>
                <w:sz w:val="18"/>
                <w:szCs w:val="18"/>
              </w:rPr>
            </w:pPr>
            <w:r>
              <w:rPr>
                <w:rFonts w:hint="eastAsia"/>
                <w:bCs/>
                <w:sz w:val="18"/>
                <w:szCs w:val="18"/>
              </w:rPr>
              <w:t>积极开展企业合作，</w:t>
            </w:r>
            <w:r>
              <w:rPr>
                <w:rFonts w:hint="eastAsia"/>
                <w:sz w:val="18"/>
                <w:szCs w:val="18"/>
              </w:rPr>
              <w:t>先后与长安汽车，中汽研，国家电网、海信空调、民生银行等知名企业建立合作关系；新增横向项目85项，合同金额3096.7049万元，到账1876.84万元。</w:t>
            </w:r>
          </w:p>
          <w:p>
            <w:pPr>
              <w:pStyle w:val="2"/>
              <w:keepNext w:val="0"/>
              <w:keepLines w:val="0"/>
              <w:pageBreakBefore w:val="0"/>
              <w:widowControl w:val="0"/>
              <w:numPr>
                <w:ilvl w:val="0"/>
                <w:numId w:val="5"/>
              </w:numPr>
              <w:kinsoku/>
              <w:wordWrap/>
              <w:overflowPunct/>
              <w:topLinePunct w:val="0"/>
              <w:autoSpaceDE/>
              <w:autoSpaceDN/>
              <w:bidi w:val="0"/>
              <w:spacing w:line="240" w:lineRule="exact"/>
              <w:ind w:firstLine="360" w:firstLineChars="200"/>
              <w:jc w:val="left"/>
              <w:textAlignment w:val="auto"/>
              <w:rPr>
                <w:sz w:val="18"/>
                <w:szCs w:val="18"/>
              </w:rPr>
            </w:pPr>
            <w:r>
              <w:rPr>
                <w:rFonts w:hint="eastAsia"/>
                <w:sz w:val="18"/>
                <w:szCs w:val="18"/>
              </w:rPr>
              <w:t>全院教师共发表期刊论文153篇，院定A类期刊论文46篇，B类以上论文59篇；申请专利204项，13项专利成果实现转化，白先旭获中国专利优秀奖；出版学术专著和教材5本，参与制定国内外标准6项；获得省部级奖项4项，其中一等奖1项、二等奖2项。</w:t>
            </w:r>
          </w:p>
          <w:p>
            <w:pPr>
              <w:pStyle w:val="2"/>
              <w:keepNext w:val="0"/>
              <w:keepLines w:val="0"/>
              <w:pageBreakBefore w:val="0"/>
              <w:widowControl w:val="0"/>
              <w:numPr>
                <w:ilvl w:val="0"/>
                <w:numId w:val="5"/>
              </w:numPr>
              <w:kinsoku/>
              <w:wordWrap/>
              <w:overflowPunct/>
              <w:topLinePunct w:val="0"/>
              <w:autoSpaceDE/>
              <w:autoSpaceDN/>
              <w:bidi w:val="0"/>
              <w:spacing w:line="240" w:lineRule="exact"/>
              <w:ind w:firstLine="360" w:firstLineChars="200"/>
              <w:jc w:val="left"/>
              <w:textAlignment w:val="auto"/>
              <w:rPr>
                <w:bCs/>
                <w:sz w:val="18"/>
                <w:szCs w:val="18"/>
              </w:rPr>
            </w:pPr>
            <w:r>
              <w:rPr>
                <w:rFonts w:hint="eastAsia"/>
                <w:sz w:val="18"/>
                <w:szCs w:val="18"/>
              </w:rPr>
              <w:t>与相关地市、头部车企开展研究平台共建工作；协助蔚来汽车-合工大联合研究院、奇瑞汽车-合工大联合研究院、安庆市工大汽车及装备制造产业研究院等联合研究平台的项目对接、人员组织、战略规划等工作</w:t>
            </w:r>
            <w:r>
              <w:rPr>
                <w:rFonts w:hint="eastAsia"/>
                <w:bCs/>
                <w:sz w:val="18"/>
                <w:szCs w:val="18"/>
              </w:rPr>
              <w:t>。</w:t>
            </w:r>
          </w:p>
          <w:p>
            <w:pPr>
              <w:pStyle w:val="2"/>
              <w:keepNext w:val="0"/>
              <w:keepLines w:val="0"/>
              <w:pageBreakBefore w:val="0"/>
              <w:widowControl w:val="0"/>
              <w:numPr>
                <w:ilvl w:val="0"/>
                <w:numId w:val="5"/>
              </w:numPr>
              <w:kinsoku/>
              <w:wordWrap/>
              <w:overflowPunct/>
              <w:topLinePunct w:val="0"/>
              <w:autoSpaceDE/>
              <w:autoSpaceDN/>
              <w:bidi w:val="0"/>
              <w:spacing w:line="240" w:lineRule="exact"/>
              <w:ind w:firstLine="360" w:firstLineChars="200"/>
              <w:jc w:val="left"/>
              <w:textAlignment w:val="auto"/>
              <w:rPr>
                <w:bCs/>
                <w:sz w:val="18"/>
                <w:szCs w:val="18"/>
              </w:rPr>
            </w:pPr>
            <w:r>
              <w:rPr>
                <w:rFonts w:hint="eastAsia"/>
                <w:sz w:val="18"/>
                <w:szCs w:val="18"/>
              </w:rPr>
              <w:t>新增自动驾驶汽车安全技术安徽省重点实验室，积极推进自动驾驶汽车安全技术安徽省重点实验室、安徽省智能汽车工程实验室、安徽省智慧交通车路协同工程研究中心的建设。</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1" w:firstLineChars="200"/>
              <w:textAlignment w:val="auto"/>
              <w:rPr>
                <w:rFonts w:asciiTheme="minorEastAsia" w:hAnsiTheme="minorEastAsia" w:cstheme="minorEastAsia"/>
                <w:b/>
                <w:sz w:val="18"/>
                <w:szCs w:val="18"/>
              </w:rPr>
            </w:pPr>
            <w:r>
              <w:rPr>
                <w:rFonts w:hint="eastAsia" w:asciiTheme="minorEastAsia" w:hAnsiTheme="minorEastAsia" w:eastAsiaTheme="minorEastAsia" w:cstheme="minorEastAsia"/>
                <w:b/>
                <w:kern w:val="2"/>
                <w:sz w:val="18"/>
                <w:szCs w:val="18"/>
                <w:lang w:val="en-US" w:eastAsia="zh-CN" w:bidi="ar-SA"/>
              </w:rPr>
              <w:t>四、</w:t>
            </w:r>
            <w:r>
              <w:rPr>
                <w:rFonts w:hint="eastAsia" w:asciiTheme="minorEastAsia" w:hAnsiTheme="minorEastAsia" w:cstheme="minorEastAsia"/>
                <w:b/>
                <w:sz w:val="18"/>
                <w:szCs w:val="18"/>
              </w:rPr>
              <w:t>学科建设与研究生工作</w:t>
            </w:r>
          </w:p>
          <w:p>
            <w:pPr>
              <w:pStyle w:val="2"/>
              <w:keepNext w:val="0"/>
              <w:keepLines w:val="0"/>
              <w:pageBreakBefore w:val="0"/>
              <w:widowControl w:val="0"/>
              <w:kinsoku/>
              <w:wordWrap/>
              <w:overflowPunct/>
              <w:topLinePunct w:val="0"/>
              <w:autoSpaceDE/>
              <w:autoSpaceDN/>
              <w:bidi w:val="0"/>
              <w:spacing w:line="240" w:lineRule="exact"/>
              <w:ind w:firstLine="360" w:firstLineChars="200"/>
              <w:jc w:val="left"/>
              <w:textAlignment w:val="auto"/>
              <w:rPr>
                <w:bCs/>
                <w:sz w:val="18"/>
                <w:szCs w:val="18"/>
              </w:rPr>
            </w:pPr>
            <w:r>
              <w:rPr>
                <w:rFonts w:hint="eastAsia"/>
                <w:bCs/>
                <w:sz w:val="18"/>
                <w:szCs w:val="18"/>
              </w:rPr>
              <w:t>1</w:t>
            </w:r>
            <w:r>
              <w:rPr>
                <w:rFonts w:hint="eastAsia"/>
                <w:bCs/>
                <w:sz w:val="18"/>
                <w:szCs w:val="18"/>
                <w:lang w:eastAsia="zh-Hans"/>
              </w:rPr>
              <w:t>.</w:t>
            </w:r>
            <w:r>
              <w:rPr>
                <w:rFonts w:hint="eastAsia"/>
                <w:sz w:val="18"/>
                <w:szCs w:val="18"/>
              </w:rPr>
              <w:t>完成交通运输领域专业研究生学位点自我评估；配合相关学院完成机械工程与能源动力专业学位的自我评估</w:t>
            </w:r>
            <w:r>
              <w:rPr>
                <w:rFonts w:hint="eastAsia"/>
                <w:bCs/>
                <w:sz w:val="18"/>
                <w:szCs w:val="18"/>
              </w:rPr>
              <w:t>。</w:t>
            </w:r>
          </w:p>
          <w:p>
            <w:pPr>
              <w:pStyle w:val="2"/>
              <w:keepNext w:val="0"/>
              <w:keepLines w:val="0"/>
              <w:pageBreakBefore w:val="0"/>
              <w:widowControl w:val="0"/>
              <w:kinsoku/>
              <w:wordWrap/>
              <w:overflowPunct/>
              <w:topLinePunct w:val="0"/>
              <w:autoSpaceDE/>
              <w:autoSpaceDN/>
              <w:bidi w:val="0"/>
              <w:spacing w:line="240" w:lineRule="exact"/>
              <w:ind w:firstLine="360" w:firstLineChars="200"/>
              <w:jc w:val="left"/>
              <w:textAlignment w:val="auto"/>
              <w:rPr>
                <w:sz w:val="18"/>
                <w:szCs w:val="18"/>
              </w:rPr>
            </w:pPr>
            <w:r>
              <w:rPr>
                <w:rFonts w:hint="eastAsia"/>
                <w:sz w:val="18"/>
                <w:szCs w:val="18"/>
              </w:rPr>
              <w:t>2</w:t>
            </w:r>
            <w:r>
              <w:rPr>
                <w:rFonts w:hint="eastAsia"/>
                <w:sz w:val="18"/>
                <w:szCs w:val="18"/>
                <w:lang w:eastAsia="zh-Hans"/>
              </w:rPr>
              <w:t>.调整学院期刊分级目录，征集各系意见，汇总列出56种top10%期刊目录</w:t>
            </w:r>
            <w:r>
              <w:rPr>
                <w:rFonts w:hint="eastAsia"/>
                <w:sz w:val="18"/>
                <w:szCs w:val="18"/>
              </w:rPr>
              <w:t>；</w:t>
            </w:r>
            <w:r>
              <w:rPr>
                <w:rFonts w:hint="eastAsia"/>
                <w:sz w:val="18"/>
                <w:szCs w:val="18"/>
                <w:lang w:eastAsia="zh-Hans"/>
              </w:rPr>
              <w:t>组织申报研究生质量工程项目</w:t>
            </w:r>
            <w:r>
              <w:rPr>
                <w:rFonts w:hint="eastAsia"/>
                <w:sz w:val="18"/>
                <w:szCs w:val="18"/>
              </w:rPr>
              <w:t>，</w:t>
            </w:r>
            <w:r>
              <w:rPr>
                <w:rFonts w:hint="eastAsia"/>
                <w:sz w:val="18"/>
                <w:szCs w:val="18"/>
                <w:lang w:eastAsia="zh-Hans"/>
              </w:rPr>
              <w:t>获得2023年度新时代育人省级质量工程项目（研究生教育）拟推荐项目11项。</w:t>
            </w:r>
          </w:p>
          <w:p>
            <w:pPr>
              <w:pStyle w:val="2"/>
              <w:keepNext w:val="0"/>
              <w:keepLines w:val="0"/>
              <w:pageBreakBefore w:val="0"/>
              <w:widowControl w:val="0"/>
              <w:kinsoku/>
              <w:wordWrap/>
              <w:overflowPunct/>
              <w:topLinePunct w:val="0"/>
              <w:autoSpaceDE/>
              <w:autoSpaceDN/>
              <w:bidi w:val="0"/>
              <w:spacing w:line="240" w:lineRule="exact"/>
              <w:ind w:firstLine="360" w:firstLineChars="200"/>
              <w:jc w:val="left"/>
              <w:textAlignment w:val="auto"/>
              <w:rPr>
                <w:sz w:val="18"/>
                <w:szCs w:val="18"/>
                <w:lang w:eastAsia="zh-Hans"/>
              </w:rPr>
            </w:pPr>
            <w:r>
              <w:rPr>
                <w:rFonts w:hint="eastAsia"/>
                <w:sz w:val="18"/>
                <w:szCs w:val="18"/>
              </w:rPr>
              <w:t>3.</w:t>
            </w:r>
            <w:r>
              <w:rPr>
                <w:rFonts w:hint="eastAsia"/>
                <w:sz w:val="18"/>
                <w:szCs w:val="18"/>
                <w:lang w:eastAsia="zh-Hans"/>
              </w:rPr>
              <w:t>完善硕士研究生招生目录和招生简章修订，制定“斛兵学子”计划，提高研究生生源质量，全年招录硕士227人，其中推免生24人，有6名为“斛兵学子”；招录博士19人。授予硕士学位198人、博士学位9人。</w:t>
            </w:r>
          </w:p>
          <w:p>
            <w:pPr>
              <w:pStyle w:val="2"/>
              <w:keepNext w:val="0"/>
              <w:keepLines w:val="0"/>
              <w:pageBreakBefore w:val="0"/>
              <w:widowControl w:val="0"/>
              <w:kinsoku/>
              <w:wordWrap/>
              <w:overflowPunct/>
              <w:topLinePunct w:val="0"/>
              <w:autoSpaceDE/>
              <w:autoSpaceDN/>
              <w:bidi w:val="0"/>
              <w:spacing w:line="240" w:lineRule="exact"/>
              <w:ind w:firstLine="360" w:firstLineChars="200"/>
              <w:jc w:val="left"/>
              <w:textAlignment w:val="auto"/>
              <w:rPr>
                <w:sz w:val="18"/>
                <w:szCs w:val="18"/>
              </w:rPr>
            </w:pPr>
            <w:r>
              <w:rPr>
                <w:rFonts w:hint="eastAsia"/>
                <w:sz w:val="18"/>
                <w:szCs w:val="18"/>
              </w:rPr>
              <w:t>4.</w:t>
            </w:r>
            <w:r>
              <w:rPr>
                <w:rFonts w:hint="eastAsia"/>
                <w:sz w:val="18"/>
                <w:szCs w:val="18"/>
                <w:lang w:eastAsia="zh-Hans"/>
              </w:rPr>
              <w:t>修订学院2023版研究生培养方案及课程设置，调整研究生课程</w:t>
            </w:r>
            <w:r>
              <w:rPr>
                <w:rFonts w:hint="eastAsia"/>
                <w:sz w:val="18"/>
                <w:szCs w:val="18"/>
              </w:rPr>
              <w:t>；</w:t>
            </w:r>
            <w:r>
              <w:rPr>
                <w:rFonts w:hint="eastAsia"/>
                <w:sz w:val="18"/>
                <w:szCs w:val="18"/>
                <w:lang w:eastAsia="zh-Hans"/>
              </w:rPr>
              <w:t>完成各类研究生导师资格审核和招生资格审查；审核遴选6名行业知名专家担任兼职硕导；做好硕士研究生学位论文送外盲审，保证论文质量。</w:t>
            </w:r>
          </w:p>
          <w:p>
            <w:pPr>
              <w:pStyle w:val="2"/>
              <w:keepNext w:val="0"/>
              <w:keepLines w:val="0"/>
              <w:pageBreakBefore w:val="0"/>
              <w:widowControl w:val="0"/>
              <w:kinsoku/>
              <w:wordWrap/>
              <w:overflowPunct/>
              <w:topLinePunct w:val="0"/>
              <w:autoSpaceDE/>
              <w:autoSpaceDN/>
              <w:bidi w:val="0"/>
              <w:spacing w:line="240" w:lineRule="exact"/>
              <w:ind w:firstLine="360" w:firstLineChars="200"/>
              <w:jc w:val="left"/>
              <w:textAlignment w:val="auto"/>
              <w:rPr>
                <w:sz w:val="18"/>
                <w:szCs w:val="18"/>
              </w:rPr>
            </w:pPr>
            <w:r>
              <w:rPr>
                <w:rFonts w:hint="eastAsia"/>
                <w:sz w:val="18"/>
                <w:szCs w:val="18"/>
                <w:lang w:eastAsia="zh-Hans"/>
              </w:rPr>
              <w:t>五、</w:t>
            </w:r>
            <w:r>
              <w:rPr>
                <w:rFonts w:hint="eastAsia"/>
                <w:sz w:val="18"/>
                <w:szCs w:val="18"/>
              </w:rPr>
              <w:t>人才与师资工作</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lang w:eastAsia="zh-Hans"/>
              </w:rPr>
            </w:pPr>
            <w:r>
              <w:rPr>
                <w:rFonts w:hint="eastAsia" w:asciiTheme="minorEastAsia" w:hAnsiTheme="minorEastAsia" w:cstheme="minorEastAsia"/>
                <w:bCs/>
                <w:sz w:val="18"/>
                <w:szCs w:val="18"/>
                <w:lang w:eastAsia="zh-Hans"/>
              </w:rPr>
              <w:t>1.高层次人才不断取得突破，石琴荣获享受国务院政府特殊津贴，引进海外优青王华；卢剑伟获批安徽省领军人才教学名师，蓝松入选安徽省百人计划青年项目，陈书凯和刘涵奇进入安徽省百人计划青年项目答辩环节等。引进黄山学者优秀学者1人，黄山学者学术骨干3人，青年教师2人，师资博士后1人，兼职教授3人。</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lang w:eastAsia="zh-Hans"/>
              </w:rPr>
            </w:pPr>
            <w:r>
              <w:rPr>
                <w:rFonts w:hint="eastAsia" w:asciiTheme="minorEastAsia" w:hAnsiTheme="minorEastAsia" w:cstheme="minorEastAsia"/>
                <w:bCs/>
                <w:sz w:val="18"/>
                <w:szCs w:val="18"/>
              </w:rPr>
              <w:t>2.</w:t>
            </w:r>
            <w:r>
              <w:rPr>
                <w:rFonts w:hint="eastAsia" w:asciiTheme="minorEastAsia" w:hAnsiTheme="minorEastAsia" w:cstheme="minorEastAsia"/>
                <w:bCs/>
                <w:sz w:val="18"/>
                <w:szCs w:val="18"/>
                <w:lang w:eastAsia="zh-Hans"/>
              </w:rPr>
              <w:t>院长参加2023年全球招聘线上宣讲，并赴澳大利亚及新西兰高校开展实地宣讲。全年接收求职简历100余份，召开5次人才引进、人才评价会议，组织3场面试。</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lang w:eastAsia="zh-Hans"/>
              </w:rPr>
            </w:pPr>
            <w:r>
              <w:rPr>
                <w:rFonts w:hint="eastAsia" w:asciiTheme="minorEastAsia" w:hAnsiTheme="minorEastAsia" w:cstheme="minorEastAsia"/>
                <w:bCs/>
                <w:sz w:val="18"/>
                <w:szCs w:val="18"/>
              </w:rPr>
              <w:t>3.</w:t>
            </w:r>
            <w:r>
              <w:rPr>
                <w:rFonts w:hint="eastAsia" w:asciiTheme="minorEastAsia" w:hAnsiTheme="minorEastAsia" w:cstheme="minorEastAsia"/>
                <w:bCs/>
                <w:sz w:val="18"/>
                <w:szCs w:val="18"/>
                <w:lang w:eastAsia="zh-Hans"/>
              </w:rPr>
              <w:t>完成《学院师资队伍建设规划（2023-2025）》的编制工作；修订《汽车与交通工程学院师资(人才)引进流程暂行办法》，优化人才引进流程。</w:t>
            </w:r>
          </w:p>
          <w:p>
            <w:pPr>
              <w:keepNext w:val="0"/>
              <w:keepLines w:val="0"/>
              <w:pageBreakBefore w:val="0"/>
              <w:widowControl w:val="0"/>
              <w:kinsoku/>
              <w:wordWrap/>
              <w:overflowPunct/>
              <w:topLinePunct w:val="0"/>
              <w:autoSpaceDE/>
              <w:autoSpaceDN/>
              <w:bidi w:val="0"/>
              <w:adjustRightInd w:val="0"/>
              <w:snapToGrid w:val="0"/>
              <w:spacing w:line="240" w:lineRule="exact"/>
              <w:ind w:firstLine="361" w:firstLineChars="200"/>
              <w:textAlignment w:val="auto"/>
              <w:rPr>
                <w:rFonts w:asciiTheme="minorEastAsia" w:hAnsiTheme="minorEastAsia" w:cstheme="minorEastAsia"/>
                <w:b/>
                <w:sz w:val="18"/>
                <w:szCs w:val="18"/>
              </w:rPr>
            </w:pPr>
            <w:r>
              <w:rPr>
                <w:rFonts w:hint="eastAsia" w:asciiTheme="minorEastAsia" w:hAnsiTheme="minorEastAsia" w:cstheme="minorEastAsia"/>
                <w:b/>
                <w:sz w:val="18"/>
                <w:szCs w:val="18"/>
              </w:rPr>
              <w:t>六、对外交流合作</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rPr>
            </w:pPr>
            <w:r>
              <w:rPr>
                <w:rFonts w:hint="eastAsia" w:asciiTheme="minorEastAsia" w:hAnsiTheme="minorEastAsia" w:cstheme="minorEastAsia"/>
                <w:bCs/>
                <w:sz w:val="18"/>
                <w:szCs w:val="18"/>
              </w:rPr>
              <w:t>1.持续推进2+2中白合作班学生联合培养；2名博士研究生获得国家建设高水平大学公派研究生项目支持出国交流学习。</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rPr>
            </w:pPr>
            <w:r>
              <w:rPr>
                <w:rFonts w:hint="eastAsia" w:asciiTheme="minorEastAsia" w:hAnsiTheme="minorEastAsia" w:cstheme="minorEastAsia"/>
                <w:bCs/>
                <w:sz w:val="18"/>
                <w:szCs w:val="18"/>
              </w:rPr>
              <w:t>2.2023年共有8名教师出国（境）交流访学，分别赴牛津大学、剑桥大学、等十多所国际知名高校，与他们在汽车、热能、运输等领域建立了良好的合作关系。</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
                <w:sz w:val="18"/>
                <w:szCs w:val="18"/>
              </w:rPr>
            </w:pPr>
            <w:r>
              <w:rPr>
                <w:rFonts w:hint="eastAsia" w:asciiTheme="minorEastAsia" w:hAnsiTheme="minorEastAsia" w:cstheme="minorEastAsia"/>
                <w:bCs/>
                <w:sz w:val="18"/>
                <w:szCs w:val="18"/>
              </w:rPr>
              <w:t>3.举办各类高水平会议论坛；承办第五届安徽省大学生交通科技大赛，本届大赛共188个队伍参赛，同比提高了38.2%，新增扬州大学、重庆交通大学等高校。</w:t>
            </w:r>
          </w:p>
          <w:p>
            <w:pPr>
              <w:keepNext w:val="0"/>
              <w:keepLines w:val="0"/>
              <w:pageBreakBefore w:val="0"/>
              <w:widowControl w:val="0"/>
              <w:kinsoku/>
              <w:wordWrap/>
              <w:overflowPunct/>
              <w:topLinePunct w:val="0"/>
              <w:autoSpaceDE/>
              <w:autoSpaceDN/>
              <w:bidi w:val="0"/>
              <w:adjustRightInd w:val="0"/>
              <w:snapToGrid w:val="0"/>
              <w:spacing w:line="240" w:lineRule="exact"/>
              <w:ind w:firstLine="361" w:firstLineChars="200"/>
              <w:textAlignment w:val="auto"/>
              <w:rPr>
                <w:rFonts w:asciiTheme="minorEastAsia" w:hAnsiTheme="minorEastAsia" w:cstheme="minorEastAsia"/>
                <w:b/>
                <w:sz w:val="18"/>
                <w:szCs w:val="18"/>
              </w:rPr>
            </w:pPr>
            <w:r>
              <w:rPr>
                <w:rFonts w:hint="eastAsia" w:asciiTheme="minorEastAsia" w:hAnsiTheme="minorEastAsia" w:cstheme="minorEastAsia"/>
                <w:b/>
                <w:sz w:val="18"/>
                <w:szCs w:val="18"/>
              </w:rPr>
              <w:t>七</w:t>
            </w:r>
            <w:r>
              <w:rPr>
                <w:rFonts w:hint="eastAsia" w:asciiTheme="minorEastAsia" w:hAnsiTheme="minorEastAsia" w:cstheme="minorEastAsia"/>
                <w:b/>
                <w:sz w:val="18"/>
                <w:szCs w:val="18"/>
                <w:lang w:eastAsia="zh-Hans"/>
              </w:rPr>
              <w:t>、</w:t>
            </w:r>
            <w:r>
              <w:rPr>
                <w:rFonts w:hint="eastAsia" w:asciiTheme="minorEastAsia" w:hAnsiTheme="minorEastAsia" w:cstheme="minorEastAsia"/>
                <w:b/>
                <w:sz w:val="18"/>
                <w:szCs w:val="18"/>
              </w:rPr>
              <w:t>学生工作与共青团工作</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rPr>
            </w:pPr>
            <w:r>
              <w:rPr>
                <w:rFonts w:hint="eastAsia" w:asciiTheme="minorEastAsia" w:hAnsiTheme="minorEastAsia" w:cstheme="minorEastAsia"/>
                <w:bCs/>
                <w:sz w:val="18"/>
                <w:szCs w:val="18"/>
              </w:rPr>
              <w:t>1.院党委定期召开学生思政工作专题会议，高质量完成分党校培训工作；围绕学习贯彻党的二十大精神开展精品活动14项、主题交流6场、学生座谈会4次，撰写学生思想状况调研报告2篇，发表学生工作相关论文4篇；2人获校长奖，2人入选校十佳大学生，组织学生参加国防预备班4人次,开展征兵专项讲座12次。</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rPr>
            </w:pPr>
            <w:r>
              <w:rPr>
                <w:rFonts w:hint="eastAsia" w:asciiTheme="minorEastAsia" w:hAnsiTheme="minorEastAsia" w:cstheme="minorEastAsia"/>
                <w:bCs/>
                <w:sz w:val="18"/>
                <w:szCs w:val="18"/>
              </w:rPr>
              <w:t>2.举办“时代新人”培育论坛，打造“睿行沙龙”学术社区，举办“扬帆计划”、“天之交子”青春故事分享会；开展《第二课堂成绩单》宣讲，协办汽车交通科技文化节。</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rPr>
            </w:pPr>
            <w:r>
              <w:rPr>
                <w:rFonts w:hint="eastAsia" w:asciiTheme="minorEastAsia" w:hAnsiTheme="minorEastAsia" w:cstheme="minorEastAsia"/>
                <w:bCs/>
                <w:sz w:val="18"/>
                <w:szCs w:val="18"/>
              </w:rPr>
              <w:t>3.落实全员育人，推进高质量就业。开展访企拓岗，建立实习实训基地。承接教育部校企合作协同育人项目，举办“精准就业”双选会。</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rPr>
            </w:pPr>
            <w:r>
              <w:rPr>
                <w:rFonts w:hint="eastAsia" w:asciiTheme="minorEastAsia" w:hAnsiTheme="minorEastAsia" w:cstheme="minorEastAsia"/>
                <w:bCs/>
                <w:sz w:val="18"/>
                <w:szCs w:val="18"/>
              </w:rPr>
              <w:t>4.推进精准资助。认定家庭经济困难学生，做好各类奖助学金的评选，实现贫困学生全覆盖。5.加强心理教育。针对重点关注学生，做到“一人一档”、“一人一策”，完成全院本、研心理普测和心理评估定级。稳妥处理学生突发事件，维护校园安全稳定。</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rPr>
            </w:pPr>
            <w:r>
              <w:rPr>
                <w:rFonts w:hint="eastAsia" w:asciiTheme="minorEastAsia" w:hAnsiTheme="minorEastAsia" w:cstheme="minorEastAsia"/>
                <w:bCs/>
                <w:sz w:val="18"/>
                <w:szCs w:val="18"/>
              </w:rPr>
              <w:t>6.学风建设有特色。组建学生自律委员会，成立学业讲师团，成功申报学业辅导精品项目，发挥朋辈领航作用。</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rPr>
            </w:pPr>
            <w:r>
              <w:rPr>
                <w:rFonts w:hint="eastAsia" w:asciiTheme="minorEastAsia" w:hAnsiTheme="minorEastAsia" w:cstheme="minorEastAsia"/>
                <w:bCs/>
                <w:sz w:val="18"/>
                <w:szCs w:val="18"/>
              </w:rPr>
              <w:t>7.实践育人有力度。打造“理论学习+红色教育+实践锻炼”立体实践能力培养体系。组建学生暑期“三下乡”团队，建立社区实践育人基地，开展志愿服务。</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Cs/>
                <w:sz w:val="18"/>
                <w:szCs w:val="18"/>
              </w:rPr>
            </w:pPr>
            <w:r>
              <w:rPr>
                <w:rFonts w:hint="eastAsia" w:asciiTheme="minorEastAsia" w:hAnsiTheme="minorEastAsia" w:cstheme="minorEastAsia"/>
                <w:bCs/>
                <w:sz w:val="18"/>
                <w:szCs w:val="18"/>
              </w:rPr>
              <w:t>8.创新创业有氛围。组织国内外专家开展学术报告，获批国家级、省校级创新实验项目；大学生创新创业取得优异成绩。</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b/>
                <w:sz w:val="18"/>
                <w:szCs w:val="18"/>
              </w:rPr>
            </w:pPr>
            <w:r>
              <w:rPr>
                <w:rFonts w:hint="eastAsia" w:asciiTheme="minorEastAsia" w:hAnsiTheme="minorEastAsia" w:cstheme="minorEastAsia"/>
                <w:bCs/>
                <w:sz w:val="18"/>
                <w:szCs w:val="18"/>
              </w:rPr>
              <w:t>9.网络阵地具人气。建立网络传媒矩阵，提升网络阵地示范引领和辐射功能，把握舆论领导权、主动权和主导权。</w:t>
            </w:r>
          </w:p>
          <w:p>
            <w:pPr>
              <w:keepNext w:val="0"/>
              <w:keepLines w:val="0"/>
              <w:pageBreakBefore w:val="0"/>
              <w:widowControl w:val="0"/>
              <w:kinsoku/>
              <w:wordWrap/>
              <w:overflowPunct/>
              <w:topLinePunct w:val="0"/>
              <w:autoSpaceDE/>
              <w:autoSpaceDN/>
              <w:bidi w:val="0"/>
              <w:adjustRightInd w:val="0"/>
              <w:snapToGrid w:val="0"/>
              <w:spacing w:line="240" w:lineRule="exact"/>
              <w:ind w:firstLine="361" w:firstLineChars="200"/>
              <w:textAlignment w:val="auto"/>
              <w:rPr>
                <w:rFonts w:asciiTheme="minorEastAsia" w:hAnsiTheme="minorEastAsia" w:cstheme="minorEastAsia"/>
                <w:b/>
                <w:sz w:val="18"/>
                <w:szCs w:val="18"/>
              </w:rPr>
            </w:pPr>
            <w:r>
              <w:rPr>
                <w:rFonts w:hint="eastAsia" w:asciiTheme="minorEastAsia" w:hAnsiTheme="minorEastAsia" w:cstheme="minorEastAsia"/>
                <w:b/>
                <w:sz w:val="18"/>
                <w:szCs w:val="18"/>
              </w:rPr>
              <w:t>八、国有资产管理与财务</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sz w:val="18"/>
                <w:szCs w:val="18"/>
              </w:rPr>
            </w:pPr>
            <w:r>
              <w:rPr>
                <w:rFonts w:hint="eastAsia" w:asciiTheme="minorEastAsia" w:hAnsiTheme="minorEastAsia" w:cstheme="minorEastAsia"/>
                <w:sz w:val="18"/>
                <w:szCs w:val="18"/>
              </w:rPr>
              <w:t>1.全度新增入库设备267台件，资产376万元，其中仪器设备224台件，资产300余万元；审核耗材入库4500余条，报废固定资产164件。</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sz w:val="18"/>
                <w:szCs w:val="18"/>
              </w:rPr>
            </w:pPr>
            <w:r>
              <w:rPr>
                <w:rFonts w:hint="eastAsia" w:asciiTheme="minorEastAsia" w:hAnsiTheme="minorEastAsia" w:cstheme="minorEastAsia"/>
                <w:sz w:val="18"/>
                <w:szCs w:val="18"/>
              </w:rPr>
              <w:t>2.配合学校优化房产资源配置，推进有偿使用。</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sz w:val="18"/>
                <w:szCs w:val="18"/>
              </w:rPr>
            </w:pPr>
            <w:r>
              <w:rPr>
                <w:rFonts w:hint="eastAsia" w:asciiTheme="minorEastAsia" w:hAnsiTheme="minorEastAsia" w:cstheme="minorEastAsia"/>
                <w:sz w:val="18"/>
                <w:szCs w:val="18"/>
              </w:rPr>
              <w:t>3.加强财务预算，保证各类资金合理使用，及时通报经费使用情况。</w:t>
            </w:r>
          </w:p>
          <w:p>
            <w:pPr>
              <w:keepNext w:val="0"/>
              <w:keepLines w:val="0"/>
              <w:pageBreakBefore w:val="0"/>
              <w:widowControl w:val="0"/>
              <w:kinsoku/>
              <w:wordWrap/>
              <w:overflowPunct/>
              <w:topLinePunct w:val="0"/>
              <w:autoSpaceDE/>
              <w:autoSpaceDN/>
              <w:bidi w:val="0"/>
              <w:adjustRightInd w:val="0"/>
              <w:snapToGrid w:val="0"/>
              <w:spacing w:line="240" w:lineRule="exact"/>
              <w:ind w:firstLine="361" w:firstLineChars="200"/>
              <w:textAlignment w:val="auto"/>
              <w:rPr>
                <w:rFonts w:asciiTheme="minorEastAsia" w:hAnsiTheme="minorEastAsia" w:cstheme="minorEastAsia"/>
                <w:b/>
                <w:sz w:val="18"/>
                <w:szCs w:val="18"/>
              </w:rPr>
            </w:pPr>
            <w:r>
              <w:rPr>
                <w:rFonts w:hint="eastAsia" w:asciiTheme="minorEastAsia" w:hAnsiTheme="minorEastAsia" w:cstheme="minorEastAsia"/>
                <w:b/>
                <w:sz w:val="18"/>
                <w:szCs w:val="18"/>
              </w:rPr>
              <w:t>八、学院运行</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sz w:val="18"/>
                <w:szCs w:val="18"/>
              </w:rPr>
            </w:pPr>
            <w:r>
              <w:rPr>
                <w:rFonts w:hint="eastAsia" w:asciiTheme="minorEastAsia" w:hAnsiTheme="minorEastAsia" w:cstheme="minorEastAsia"/>
                <w:sz w:val="18"/>
                <w:szCs w:val="18"/>
              </w:rPr>
              <w:t>1.围绕智能网联与新能源技术的发展方向，继续加强完善实验室功能建设。完成学院智能汽车虚拟仿真实验室等5个实验室的基础设施建设和智慧教室改造建设；完成格物楼十个实验室的修缮改建整合、各类实验装置平台通讯故障维修和实验室的新国标配电器更新。</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sz w:val="18"/>
                <w:szCs w:val="18"/>
              </w:rPr>
            </w:pPr>
            <w:r>
              <w:rPr>
                <w:rFonts w:hint="eastAsia" w:asciiTheme="minorEastAsia" w:hAnsiTheme="minorEastAsia" w:cstheme="minorEastAsia"/>
                <w:sz w:val="18"/>
                <w:szCs w:val="18"/>
              </w:rPr>
              <w:t>2.推进落实《汽车与交通工程学院大型仪器设备运行经费使用管理办法》及收费标准，26台40万以上大型科研仪器开放共享。</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sz w:val="18"/>
                <w:szCs w:val="18"/>
              </w:rPr>
            </w:pPr>
            <w:r>
              <w:rPr>
                <w:rFonts w:hint="eastAsia" w:asciiTheme="minorEastAsia" w:hAnsiTheme="minorEastAsia" w:cstheme="minorEastAsia"/>
                <w:sz w:val="18"/>
                <w:szCs w:val="18"/>
              </w:rPr>
              <w:t>3.接受教育部年度安全检查、校级季度巡查；完成系统安全管理自查自纠27次；完成2022级本硕博新生701人实验室安全准入考试与新进教师6人考试；作为一类安全检查学院，全年无安全事故，单学年无任何安全问题。</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sz w:val="18"/>
                <w:szCs w:val="18"/>
              </w:rPr>
            </w:pPr>
            <w:r>
              <w:rPr>
                <w:rFonts w:hint="eastAsia" w:asciiTheme="minorEastAsia" w:hAnsiTheme="minorEastAsia" w:cstheme="minorEastAsia"/>
                <w:sz w:val="18"/>
                <w:szCs w:val="18"/>
              </w:rPr>
              <w:t>4.做好会议的安排、记录和纪要工作；做好机要文件、档案资料的归档、统计及保密工作；做好接受学校审计的准备工作。</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Theme="minorEastAsia" w:hAnsiTheme="minorEastAsia" w:cstheme="minorEastAsia"/>
                <w:sz w:val="18"/>
                <w:szCs w:val="18"/>
              </w:rPr>
            </w:pPr>
            <w:r>
              <w:rPr>
                <w:rFonts w:hint="eastAsia" w:asciiTheme="minorEastAsia" w:hAnsiTheme="minorEastAsia" w:cstheme="minorEastAsia"/>
                <w:sz w:val="18"/>
                <w:szCs w:val="18"/>
              </w:rPr>
              <w:t>5.做好办公设备和办公用品采购发放人员的来访报备接待和办公、教学科研设备保管、维护和更新改造工作。</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仿宋" w:hAnsi="仿宋" w:eastAsia="仿宋"/>
              </w:rPr>
            </w:pPr>
            <w:r>
              <w:rPr>
                <w:rFonts w:hint="eastAsia" w:asciiTheme="minorEastAsia" w:hAnsiTheme="minorEastAsia" w:cstheme="minorEastAsia"/>
                <w:sz w:val="18"/>
                <w:szCs w:val="18"/>
              </w:rPr>
              <w:t>6.积极组织参与学校各类活动；关心退休、生病、生育教职工，做好扶贫送温暖等工作。</w:t>
            </w:r>
          </w:p>
        </w:tc>
      </w:tr>
    </w:tbl>
    <w:p>
      <w:pPr>
        <w:spacing w:line="240" w:lineRule="exact"/>
      </w:pPr>
      <w:r>
        <w:br w:type="page"/>
      </w:r>
    </w:p>
    <w:p>
      <w:pPr>
        <w:pStyle w:val="4"/>
        <w:rPr>
          <w:rFonts w:hint="eastAsia" w:asciiTheme="minorEastAsia" w:hAnsiTheme="minorEastAsia" w:eastAsiaTheme="minorEastAsia" w:cstheme="minorEastAsia"/>
          <w:shd w:val="clear" w:color="auto" w:fill="FFFFFF"/>
        </w:rPr>
      </w:pPr>
      <w:bookmarkStart w:id="27" w:name="_Toc25756"/>
      <w:r>
        <w:rPr>
          <w:rFonts w:hint="eastAsia" w:asciiTheme="minorEastAsia" w:hAnsiTheme="minorEastAsia" w:eastAsiaTheme="minorEastAsia" w:cstheme="minorEastAsia"/>
          <w:shd w:val="clear" w:color="auto" w:fill="FFFFFF"/>
        </w:rPr>
        <w:t>体育部2023年度业绩简表</w:t>
      </w:r>
      <w:bookmarkEnd w:id="27"/>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单位名称</w:t>
            </w:r>
          </w:p>
        </w:tc>
        <w:tc>
          <w:tcPr>
            <w:tcW w:w="2976" w:type="dxa"/>
            <w:vAlign w:val="center"/>
          </w:tcPr>
          <w:p>
            <w:pPr>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体育部</w:t>
            </w:r>
          </w:p>
        </w:tc>
        <w:tc>
          <w:tcPr>
            <w:tcW w:w="1747" w:type="dxa"/>
            <w:vAlign w:val="center"/>
          </w:tcPr>
          <w:p>
            <w:pPr>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单位职工数</w:t>
            </w:r>
          </w:p>
        </w:tc>
        <w:tc>
          <w:tcPr>
            <w:tcW w:w="2131" w:type="dxa"/>
            <w:vAlign w:val="center"/>
          </w:tcPr>
          <w:p>
            <w:pPr>
              <w:jc w:val="center"/>
              <w:rPr>
                <w:rFonts w:hint="eastAsia" w:ascii="仿宋_GB2312" w:hAnsi="仿宋_GB2312" w:eastAsia="仿宋_GB2312" w:cs="仿宋_GB2312"/>
                <w:b/>
                <w:sz w:val="24"/>
                <w:szCs w:val="21"/>
              </w:rPr>
            </w:pPr>
            <w:r>
              <w:rPr>
                <w:rFonts w:hint="eastAsia" w:ascii="仿宋_GB2312" w:hAnsi="仿宋_GB2312" w:eastAsia="仿宋_GB2312" w:cs="仿宋_GB2312"/>
                <w:b/>
                <w:sz w:val="24"/>
                <w:szCs w:val="21"/>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一、党建与思想政治工作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一）深入开展主题教育。（1）扎实组织理论学习，带领干部和党员教职工深入学习贯彻习近平新时代中国特色社会主义思想。（2）在三个校区深入开展调查研究，调研体育部在发展中遇到的难题、瓶颈问题，寻求破解之道。（3）以学促干，推动发展。组织开展“处级领导干部重点解决突出问题”12个，组织党员教职工开展“我为师生办实事”实践活动，为师生办实事34件。（4）检视整改，深化改革。领导班子针对调研发现的问题，深化改革，研究制定整改措施和解决办法。（5）通过主题教育体育部党员干部进一步筑牢了信仰之基、补足了精神之钙，增强了推动学校体育工作高质量发展的本领，建立了长效机制，研究制定制度3项，修订完善规章制度5项。</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二）抓好政治建设、师德师风建设。党总支履行全面从严治党主体责任，发挥政治核心和监督保证作用，保证党中央的路线方针政策及上级党组织决策部署在体育部的贯彻执行。严格贯彻落实《党总支会议议事规则》和《党政联席会议议事规则》，强化师德师风建设，2023年开展师德师风学习暨警示教育5次，把握好体育部重大事项中的政治原则、政治立场、政治方向。</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三）抓好理论武装和意识形态工作。党员干部和教职工理论学习教育常态化制度化，2023年体育部领导班子理论学习中心组集中学习18次，组织全体教职工集中理论学习教育活动12次，5个党支部开展各类学习教育合计120余次。严格规范报告会、研讨会、讲座、论坛管理，严格网站新闻发布管理，微信、QQ工作群实行实名登记。</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四）抓好组织建设。增强党组织的政治功能和组织功能，在体育部师资引进、职称晋升、师德师风考核、干部选拔任用、教材使用和项目申报等工作中强化政审把关；通过加强党建业务培训、开展党支部“三会一课”工作检查、按期公示党员党费缴纳、严格落实党员发展计划，2023年培养教工发展对象1名，党组织的凝聚力和战斗力全面提升。</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五）抓好党的纪律作风建设。党总支通过召开“2023年体育部全面从严治党工作大会”、召开警示教育大会、开展“党风廉政建设宣教月活动”、与领导班子副职和各二级机构行政负责人签署《党风廉政责任任务书》等形式，进一步加强党风廉政建设。</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六）抓好统战、离退休、工会、乡村振兴、安全稳定工作。注重听取教职工意见和建议，配合统战部做好教职工宗教信仰排查；帮助利辛县陈营村小学建设爱心体育室1个，助力乡村小学体育振兴；2023年组织开展体育设施和消防等安全隐患排查4次，确保体育部安全稳定。</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二、课内外一体化改革工作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（一）体育教学</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体育教学是体育部工作的核心，本年度除根据教育部相关文件精神对合肥、宣城两地三校区大一、大二两个年级开展常规的本科教学之外，还与研究生院联合探讨在硕士研究生中开展体育选修课程的模式，并已经制定了相关教学文件，计划在2024年春季学期开始实施。根据宣城校区教务处反馈的学生需求，体育部在秋季学期安排宣城授课教师数量增加至13名，开课项目增加至19项。</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课内外一体化改革以来，把课余的锻炼及通过线上平台对运动技术、方法的学习纳入体育课程评价体系中，效果显著。随着《合肥工业大学智慧校园体育综合管理系统》功能的完善，体育部教学指导与督导委员会调整了课余锻炼的统计范围及评价方式，自秋季学期开始实施，使得锻炼形式从单一的健身跑步扩大到学校体育场馆内的所有运动项目，对“掌握2项以上运动技术”以及养成终身锻炼习惯起到了良好的促进作用。</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（二）运动队建设</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由于疫情原因，2022年安徽省第十五届运动会高校部足球、篮球等这些参与高校多，关注度高的赛事推迟到了本年度举行，4月份开始，各组别赛事在滁州有序开赛，随即捷报频传，在足球项目中获得男子甲组冠军、女子甲组亚军、男子丙组季军；在篮球项目中荣获男子甲组冠军、女子甲组第七、男子丙组季军等；在第21届全国大学生田径锦标赛中我校田径队获得安徽省高校最好成绩；校毽球队代表安徽省参加全国第一届学生青年运动会，荣获第4名。截止11月底，由于经费原因，后续部分运动队无法参赛外，本年度学校学生运动队共获得安徽省冠军4项，前八名15项；荣获全国冠军3项，前八名47项。</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（三）体质健康测试</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目前，我校两地三校区体质健康测试工作已经进入收尾阶段，数据正在统计中。2024年春季，随着三个校区固定体质健康测试场所的投入使用，学生体质健康测试工作将利用信息化、智能化手段，采用全新的模式展开，2024年开始将会彻底改变学生体质健康测试“排队半小时，测试一分钟”等诸多不利因素，学生体质健康测试通过率也将有一个大的提升。年度内配合安徽省教育厅体卫艺处，完成安徽省、教育部两轮学生体质健康数据抽查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（四）校内群体活动</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年度公布校内竞赛计划26项，已经基本完成，参与人数约6800人次，学生在校期间每月2项以上以学院为单位参与的体育竞赛活动。协助校团委完成对23个体育社团指导老师的遴选。</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三、师资队伍建设工作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体育部年度内新增青年教师1名，现任教师57名（包括3名返聘教师）。年度内出版教材2部，发表论文3篇（已认领），12人次申报质量工程项目，获批3项，2人次参加全国高校体育高质量发展学术研讨会，多人次参加学校组织的国家社科培训会等。</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四、学校体育信息化建设工作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1"/>
                <w:szCs w:val="21"/>
              </w:rPr>
            </w:pPr>
            <w:r>
              <w:rPr>
                <w:rFonts w:hint="eastAsia" w:asciiTheme="minorEastAsia" w:hAnsiTheme="minorEastAsia" w:cstheme="minorEastAsia"/>
                <w:sz w:val="24"/>
                <w:szCs w:val="24"/>
              </w:rPr>
              <w:t>屯溪路校区智慧操场（银校合作智慧教室项目）在学校党政的关心和信息建设与发展中心的支持下，于2022年底立项，经过半年多的建设，于本年度秋季学期开始投入测试与试运行。体育部为了能够充分发挥这一窗口的功能，结合学校体育工作信息化、智能化建设需求，于今年暑期专门成立体育信息教育中心，配置固定办公室及教师，了解、学习、管理相关平台及设备，通过国庆期间学工部举办的国旗下教育及2023年学校田径运动会两次大型活动的运行检验，在教育、宣传及现场氛围渲染方面效果显著，管理及操作人员对专业设备、平台的操作也接受了考验。计划自2024年春季学期开始，将在工作日常态化进行展示，展示内容包括国内外重大体育赛事转播，中国体育、教育方面重大战略举措，合肥工业大学学校体育发展、改革成果，现代体育运动项目、技术、规则介绍，学校运动队参加重大赛事时现场直播或录播等。</w:t>
            </w:r>
          </w:p>
        </w:tc>
      </w:tr>
    </w:tbl>
    <w:p>
      <w:pPr>
        <w:pStyle w:val="4"/>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asciiTheme="minorEastAsia" w:hAnsiTheme="minorEastAsia" w:eastAsiaTheme="minorEastAsia" w:cstheme="minorEastAsia"/>
          <w:sz w:val="30"/>
          <w:szCs w:val="30"/>
          <w:shd w:val="clear" w:color="auto" w:fill="FFFFFF"/>
        </w:rPr>
      </w:pPr>
      <w:bookmarkStart w:id="28" w:name="_Toc32059"/>
      <w:r>
        <w:rPr>
          <w:rFonts w:hint="eastAsia" w:asciiTheme="minorEastAsia" w:hAnsiTheme="minorEastAsia" w:eastAsiaTheme="minorEastAsia" w:cstheme="minorEastAsia"/>
          <w:sz w:val="30"/>
          <w:szCs w:val="30"/>
        </w:rPr>
        <w:t>国际教育学院</w:t>
      </w:r>
      <w:r>
        <w:rPr>
          <w:rFonts w:hint="eastAsia" w:asciiTheme="minorEastAsia" w:hAnsiTheme="minorEastAsia" w:eastAsiaTheme="minorEastAsia" w:cstheme="minorEastAsia"/>
          <w:sz w:val="30"/>
          <w:szCs w:val="30"/>
          <w:shd w:val="clear" w:color="auto" w:fill="FFFFFF"/>
        </w:rPr>
        <w:t>2023年度业绩简表</w:t>
      </w:r>
      <w:bookmarkEnd w:id="28"/>
    </w:p>
    <w:tbl>
      <w:tblPr>
        <w:tblStyle w:val="13"/>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sz w:val="24"/>
                <w:szCs w:val="21"/>
              </w:rPr>
            </w:pPr>
            <w:r>
              <w:rPr>
                <w:rFonts w:hint="eastAsia" w:ascii="仿宋" w:hAnsi="仿宋" w:eastAsia="仿宋"/>
                <w:b/>
                <w:sz w:val="24"/>
                <w:szCs w:val="21"/>
              </w:rPr>
              <w:t>单位名称</w:t>
            </w:r>
          </w:p>
        </w:tc>
        <w:tc>
          <w:tcPr>
            <w:tcW w:w="2976" w:type="dxa"/>
            <w:vAlign w:val="center"/>
          </w:tcPr>
          <w:p>
            <w:pPr>
              <w:jc w:val="center"/>
              <w:rPr>
                <w:rFonts w:ascii="仿宋" w:hAnsi="仿宋" w:eastAsia="仿宋"/>
                <w:b/>
                <w:sz w:val="24"/>
                <w:szCs w:val="21"/>
              </w:rPr>
            </w:pPr>
            <w:r>
              <w:rPr>
                <w:rFonts w:hint="eastAsia" w:ascii="仿宋" w:hAnsi="仿宋" w:eastAsia="仿宋"/>
                <w:b/>
                <w:sz w:val="24"/>
                <w:szCs w:val="21"/>
              </w:rPr>
              <w:t>国际教育学院</w:t>
            </w:r>
          </w:p>
        </w:tc>
        <w:tc>
          <w:tcPr>
            <w:tcW w:w="1747" w:type="dxa"/>
            <w:vAlign w:val="center"/>
          </w:tcPr>
          <w:p>
            <w:pPr>
              <w:jc w:val="center"/>
              <w:rPr>
                <w:rFonts w:ascii="仿宋" w:hAnsi="仿宋" w:eastAsia="仿宋"/>
                <w:b/>
                <w:sz w:val="24"/>
                <w:szCs w:val="21"/>
              </w:rPr>
            </w:pPr>
            <w:r>
              <w:rPr>
                <w:rFonts w:hint="eastAsia" w:ascii="仿宋" w:hAnsi="仿宋" w:eastAsia="仿宋"/>
                <w:b/>
                <w:sz w:val="24"/>
                <w:szCs w:val="21"/>
              </w:rPr>
              <w:t>单位职工数</w:t>
            </w:r>
          </w:p>
        </w:tc>
        <w:tc>
          <w:tcPr>
            <w:tcW w:w="2408" w:type="dxa"/>
            <w:vAlign w:val="center"/>
          </w:tcPr>
          <w:p>
            <w:pPr>
              <w:jc w:val="center"/>
              <w:rPr>
                <w:rFonts w:ascii="仿宋" w:hAnsi="仿宋" w:eastAsia="仿宋"/>
                <w:b/>
                <w:sz w:val="24"/>
                <w:szCs w:val="21"/>
              </w:rPr>
            </w:pPr>
            <w:r>
              <w:rPr>
                <w:rFonts w:hint="eastAsia" w:ascii="仿宋" w:hAnsi="仿宋" w:eastAsia="仿宋"/>
                <w:b/>
                <w:sz w:val="24"/>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799" w:type="dxa"/>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2" w:firstLineChars="200"/>
              <w:jc w:val="both"/>
              <w:textAlignment w:val="auto"/>
              <w:rPr>
                <w:rFonts w:ascii="仿宋" w:hAnsi="仿宋" w:eastAsia="仿宋"/>
                <w:b/>
                <w:sz w:val="24"/>
                <w:szCs w:val="24"/>
              </w:rPr>
            </w:pPr>
            <w:r>
              <w:rPr>
                <w:rFonts w:hint="eastAsia" w:ascii="仿宋" w:hAnsi="仿宋" w:eastAsia="仿宋"/>
                <w:b/>
                <w:sz w:val="24"/>
                <w:szCs w:val="24"/>
              </w:rPr>
              <w:t>一、党建工作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仿宋" w:hAnsi="仿宋" w:eastAsia="仿宋"/>
                <w:sz w:val="24"/>
                <w:szCs w:val="24"/>
              </w:rPr>
              <w:t>1</w:t>
            </w:r>
            <w:r>
              <w:rPr>
                <w:rFonts w:hint="eastAsia" w:ascii="仿宋" w:hAnsi="仿宋" w:eastAsia="仿宋"/>
                <w:sz w:val="24"/>
                <w:szCs w:val="24"/>
                <w:lang w:eastAsia="zh-CN"/>
              </w:rPr>
              <w:t>.</w:t>
            </w:r>
            <w:r>
              <w:rPr>
                <w:rFonts w:hint="eastAsia" w:asciiTheme="minorEastAsia" w:hAnsiTheme="minorEastAsia" w:cstheme="minorEastAsia"/>
                <w:sz w:val="24"/>
                <w:szCs w:val="24"/>
              </w:rPr>
              <w:t>开展学习贯彻习近平新时代中国特色社会主义思想主题教育。以目标为导向落实调查研究，完成困扰学院发展的6个问题的整改，在招生等方面取得明显突破。</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落实师德集中学习教育。开展专题讲座和专题党课，学习讨论警示案例。通过网络培训、集中学习等方式增强教师依法从教意识。</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3</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审查拟选用教材3本。</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4</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强化党风廉政建设。邀请校纪委办公室葛万锋同志讲授党风廉政教育专题党课。在党风廉政建设宣传教育月系列活动中荣获一个特等奖、两个一等奖、两个优秀奖。</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5</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召开支部委员会会议14次，党员大会5次，组织生活会1次，支委讲专题党课7次。转出党组织关系1人。</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6</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严格意识形态阵地管理。通过院领导接待日等途径解决来华留学生关切的急难愁盼问题；通过入学教育等向来华留学生宣传国家和学校有关制度。</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jc w:val="both"/>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二、来华留学教育工作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7</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完成本年度招生任务，招收来华留学生69人，其中本科13人，硕士研究生12人，博士研究生21人，汉语语言生23人；来自亚洲、非洲、欧洲、大洋洲的24个国家和地区；分布在12个培养学院的16个专业学科领域。</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8</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完成来华留学生（结）毕业相关工作。毕业来华留学生17人，其中博士5人，硕士7人，本科5人；结业来华留学硕士生3人。</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9</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开展中国政府奖学金年度评审和校级奖学金年度评审。优秀7人，良好13人，一般5人，合格3人，不合格l人。</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10</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推广“留学工大”品牌。拍摄来华留学生招生宣传片；招募来华留学生招生宣传大使；参加教育展4次；面向100多个国家开展线上招生宣讲17场；开展14场语言面试、18场学术面试、7场线上考试。</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11</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开设《高级汉语》等3门学历生必修课、《科技汉语》等8门选修课、《中国概况》等4门全英文授课课程、《汉语综合》等5门初级汉语课程。</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12</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续签与泰国宋卡王子大学普吉岛校区短期学生交流项目协议；与蒙古国奥肯大学、吉尔吉斯斯坦比什凯克国立大学开展合作，拓展优秀生源基地。</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13</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获批本年度中国政府奖学金“高校研究生”项目、中国政府奖学金“丝绸之路”项目以及“留学合肥”政府奖学金项目。</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14</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举办第一届来华留学生中文影视作品比赛。作品同步报送2023全球外国人汉语大赛，并获“最受欢迎配音奖”。</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15</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提升教师业务能力。组织汉语教师参加《中国概况》课程建设与中国国情教育研讨会等活动；组织教师参加第五届全国研究生汉语微课教学大赛，并获“二等奖”。</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16</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完成本年度155名学历生和23名语言生的教务管理工作。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17</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完成后疫情时代入境返校来华留学生的教务衔接工作。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18</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完成学信网来华留学生学籍信息电子注册46人，及学历信息电子注册17人。处理各类学籍异动40人次。</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19</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开展来华留学新生入学教育系列活动。</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20</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开展来华留学本科新生学业水平测试。</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21</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实行来华留学生月度评价制度，评价共计373人次。</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22</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修订《中国政府奖学金生年度评审测评指标》。</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23</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开展法律法规、校纪校规教育，提升管理和服务水平。</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24</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开展安全教育，构建平安校园。</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25</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开展心理健康教育，提高适应能力。</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26</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加强与合肥市公安局出入境管理支队等管理部门沟通与协作，提升应变处置能力。</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27</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组织来华留学生参加各类比赛。</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28</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组织来华留学生参加新华社等媒体平台的宣传活动。</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29</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开展中华才艺培养、中外大学生交流等各类校园活动67次。</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30</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开展“感知中国”“中外大学生社会实践周”等社会实践活动18次，“外国人过中国节”等中国传统文化体验活动13次。</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31</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2023年暑期举办为期7天的“中华文化研习营”活动，来自越南胡志明市26名师生参加活动。</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jc w:val="both"/>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三、中国学生涉外交流工作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32</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29名学生参加新青年全球胜任力人才培养项目学习。</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33</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2名学生顺利完成在汉阳大学ERICA校区的交换学习。</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34</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开展国际组织远程实习项目。23名学生完成实习，1名学生正在实习，23名学生已提交申请材料等待测试考核。</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35</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开展英国牛津大学课程项目。15名学生（5名线上、10名线下）完成项目课程学习。</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36</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3名学生完成慕尼黑工业大学亚洲校区夏令营项目学习。</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37</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开展联合国总部实地交流项目。2024年寒假线上课程项目招生工作已完成，2名学生正在办理相关手续。</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38</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77名学生参加慕尼黑工业大学亚洲校区航空工程线上工作坊等其他项目</w:t>
            </w:r>
          </w:p>
          <w:p>
            <w:pPr>
              <w:keepNext w:val="0"/>
              <w:keepLines w:val="0"/>
              <w:pageBreakBefore w:val="0"/>
              <w:widowControl w:val="0"/>
              <w:kinsoku/>
              <w:wordWrap/>
              <w:overflowPunct/>
              <w:topLinePunct w:val="0"/>
              <w:autoSpaceDE/>
              <w:autoSpaceDN/>
              <w:bidi w:val="0"/>
              <w:adjustRightInd/>
              <w:snapToGrid/>
              <w:spacing w:line="300" w:lineRule="exact"/>
              <w:ind w:firstLine="482" w:firstLineChars="200"/>
              <w:jc w:val="both"/>
              <w:textAlignment w:val="auto"/>
              <w:rPr>
                <w:rFonts w:asciiTheme="minorEastAsia" w:hAnsiTheme="minorEastAsia" w:cstheme="minorEastAsia"/>
                <w:b/>
                <w:sz w:val="24"/>
                <w:szCs w:val="24"/>
              </w:rPr>
            </w:pPr>
            <w:r>
              <w:rPr>
                <w:rFonts w:hint="eastAsia" w:asciiTheme="minorEastAsia" w:hAnsiTheme="minorEastAsia" w:cstheme="minorEastAsia"/>
                <w:b/>
                <w:sz w:val="24"/>
                <w:szCs w:val="24"/>
              </w:rPr>
              <w:t>四、行政工作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39</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制定《国际教育学院劳动纪律管理实施细则（试行）》等3项制度。完成2020-2023学院制度汇编工作。形成会议纪要10份。</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40</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完成1名职工解聘和1名教师离职相关手续办理工作。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41</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承办安徽省外国留学生教育管理学会2022年年会暨专家论坛。</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42</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完成安徽省外国留学生教育管理学会2023年度8项课题立项及4项课题结项相关工作。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43</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与中国网韵动安徽和安徽中医药大学第二附属医院（安徽省针灸医院）共建来华留学生社会文化实践基地；与安徽迪科数金科技有限公司共建来华留学生创新创业教育实践基地。</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44</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组织“安全生产月”系列活动。</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45</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完成本年度保密自查、新媒体自查、定点帮扶和乡村振兴、安全隐患排查、法治学习和普法宣传、工会、采购、离退休等事务性工作。</w:t>
            </w:r>
          </w:p>
          <w:p>
            <w:pPr>
              <w:rPr>
                <w:rFonts w:ascii="仿宋" w:hAnsi="仿宋" w:eastAsia="仿宋"/>
                <w:sz w:val="24"/>
                <w:szCs w:val="24"/>
              </w:rPr>
            </w:pPr>
          </w:p>
        </w:tc>
      </w:tr>
    </w:tbl>
    <w:p>
      <w:r>
        <w:br w:type="page"/>
      </w:r>
    </w:p>
    <w:p>
      <w:pPr>
        <w:pStyle w:val="4"/>
        <w:rPr>
          <w:rFonts w:hint="eastAsia" w:asciiTheme="minorEastAsia" w:hAnsiTheme="minorEastAsia" w:eastAsiaTheme="minorEastAsia" w:cstheme="minorEastAsia"/>
          <w:sz w:val="30"/>
          <w:szCs w:val="30"/>
          <w:shd w:val="clear" w:color="auto" w:fill="FFFFFF"/>
        </w:rPr>
      </w:pPr>
      <w:bookmarkStart w:id="29" w:name="_Toc10732"/>
      <w:bookmarkStart w:id="30" w:name="_Toc645"/>
      <w:r>
        <w:rPr>
          <w:rFonts w:hint="eastAsia" w:asciiTheme="minorEastAsia" w:hAnsiTheme="minorEastAsia" w:eastAsiaTheme="minorEastAsia" w:cstheme="minorEastAsia"/>
          <w:sz w:val="30"/>
          <w:szCs w:val="30"/>
          <w:shd w:val="clear" w:color="auto" w:fill="FFFFFF"/>
        </w:rPr>
        <w:t>光电技术研究院2023年度业绩简表</w:t>
      </w:r>
      <w:bookmarkEnd w:id="29"/>
      <w:bookmarkEnd w:id="30"/>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kern w:val="0"/>
                <w:szCs w:val="28"/>
              </w:rPr>
            </w:pPr>
            <w:r>
              <w:rPr>
                <w:rFonts w:hint="eastAsia" w:asciiTheme="minorEastAsia" w:hAnsiTheme="minorEastAsia" w:cstheme="minorEastAsia"/>
                <w:kern w:val="0"/>
                <w:szCs w:val="28"/>
              </w:rPr>
              <w:t>光电技术研究院</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kern w:val="0"/>
                <w:szCs w:val="28"/>
              </w:rPr>
            </w:pPr>
            <w:r>
              <w:rPr>
                <w:rFonts w:ascii="仿宋" w:hAnsi="仿宋" w:eastAsia="仿宋" w:cs="宋体"/>
                <w:kern w:val="0"/>
                <w:szCs w:val="2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pStyle w:val="20"/>
              <w:keepNext w:val="0"/>
              <w:keepLines w:val="0"/>
              <w:pageBreakBefore w:val="0"/>
              <w:numPr>
                <w:ilvl w:val="0"/>
                <w:numId w:val="0"/>
              </w:numPr>
              <w:kinsoku/>
              <w:wordWrap/>
              <w:overflowPunct/>
              <w:topLinePunct w:val="0"/>
              <w:autoSpaceDE/>
              <w:autoSpaceDN/>
              <w:bidi w:val="0"/>
              <w:adjustRightInd/>
              <w:snapToGrid/>
              <w:spacing w:line="400" w:lineRule="exact"/>
              <w:ind w:left="720" w:leftChars="0" w:hanging="720" w:firstLineChars="0"/>
              <w:textAlignment w:val="auto"/>
              <w:rPr>
                <w:rFonts w:asciiTheme="minorEastAsia" w:hAnsiTheme="minorEastAsia"/>
                <w:sz w:val="24"/>
                <w:szCs w:val="24"/>
              </w:rPr>
            </w:pPr>
            <w:r>
              <w:rPr>
                <w:rFonts w:hint="default" w:asciiTheme="minorHAnsi" w:hAnsiTheme="minorHAnsi" w:eastAsiaTheme="minorEastAsia" w:cstheme="minorBidi"/>
                <w:kern w:val="2"/>
                <w:sz w:val="24"/>
                <w:szCs w:val="24"/>
                <w:lang w:val="en-US" w:eastAsia="zh-CN" w:bidi="ar-SA"/>
              </w:rPr>
              <w:t>（1）</w:t>
            </w:r>
            <w:r>
              <w:rPr>
                <w:rFonts w:hint="eastAsia" w:asciiTheme="minorEastAsia" w:hAnsiTheme="minorEastAsia"/>
                <w:sz w:val="24"/>
                <w:szCs w:val="24"/>
              </w:rPr>
              <w:t>认真开展党支部党建与学生思想政治教育工作。</w:t>
            </w:r>
          </w:p>
          <w:p>
            <w:pPr>
              <w:pStyle w:val="20"/>
              <w:keepNext w:val="0"/>
              <w:keepLines w:val="0"/>
              <w:pageBreakBefore w:val="0"/>
              <w:numPr>
                <w:ilvl w:val="0"/>
                <w:numId w:val="0"/>
              </w:numPr>
              <w:kinsoku/>
              <w:wordWrap/>
              <w:overflowPunct/>
              <w:topLinePunct w:val="0"/>
              <w:autoSpaceDE/>
              <w:autoSpaceDN/>
              <w:bidi w:val="0"/>
              <w:adjustRightInd/>
              <w:snapToGrid/>
              <w:spacing w:line="400" w:lineRule="exact"/>
              <w:ind w:left="720" w:leftChars="0" w:hanging="720" w:firstLineChars="0"/>
              <w:textAlignment w:val="auto"/>
              <w:rPr>
                <w:rFonts w:asciiTheme="minorEastAsia" w:hAnsiTheme="minorEastAsia"/>
                <w:sz w:val="24"/>
                <w:szCs w:val="24"/>
              </w:rPr>
            </w:pPr>
            <w:r>
              <w:rPr>
                <w:rFonts w:hint="default" w:asciiTheme="minorHAnsi" w:hAnsiTheme="minorHAnsi" w:eastAsiaTheme="minorEastAsia" w:cstheme="minorBidi"/>
                <w:kern w:val="2"/>
                <w:sz w:val="24"/>
                <w:szCs w:val="24"/>
                <w:lang w:val="en-US" w:eastAsia="zh-CN" w:bidi="ar-SA"/>
              </w:rPr>
              <w:t>（2）</w:t>
            </w:r>
            <w:r>
              <w:rPr>
                <w:rFonts w:hint="eastAsia" w:asciiTheme="minorEastAsia" w:hAnsiTheme="minorEastAsia"/>
                <w:sz w:val="24"/>
                <w:szCs w:val="24"/>
              </w:rPr>
              <w:t>加强师德师风建设，提高科研育人水平。</w:t>
            </w:r>
          </w:p>
          <w:p>
            <w:pPr>
              <w:pStyle w:val="20"/>
              <w:keepNext w:val="0"/>
              <w:keepLines w:val="0"/>
              <w:pageBreakBefore w:val="0"/>
              <w:numPr>
                <w:ilvl w:val="0"/>
                <w:numId w:val="0"/>
              </w:numPr>
              <w:kinsoku/>
              <w:wordWrap/>
              <w:overflowPunct/>
              <w:topLinePunct w:val="0"/>
              <w:autoSpaceDE/>
              <w:autoSpaceDN/>
              <w:bidi w:val="0"/>
              <w:adjustRightInd/>
              <w:snapToGrid/>
              <w:spacing w:line="400" w:lineRule="exact"/>
              <w:ind w:left="720" w:leftChars="0" w:hanging="720" w:firstLineChars="0"/>
              <w:textAlignment w:val="auto"/>
              <w:rPr>
                <w:rFonts w:asciiTheme="minorEastAsia" w:hAnsiTheme="minorEastAsia"/>
                <w:sz w:val="24"/>
                <w:szCs w:val="24"/>
              </w:rPr>
            </w:pPr>
            <w:r>
              <w:rPr>
                <w:rFonts w:hint="default" w:asciiTheme="minorHAnsi" w:hAnsiTheme="minorHAnsi" w:eastAsiaTheme="minorEastAsia" w:cstheme="minorBidi"/>
                <w:kern w:val="2"/>
                <w:sz w:val="24"/>
                <w:szCs w:val="24"/>
                <w:lang w:val="en-US" w:eastAsia="zh-CN" w:bidi="ar-SA"/>
              </w:rPr>
              <w:t>（3）</w:t>
            </w:r>
            <w:r>
              <w:rPr>
                <w:rFonts w:hint="eastAsia" w:asciiTheme="minorEastAsia" w:hAnsiTheme="minorEastAsia"/>
                <w:sz w:val="24"/>
                <w:szCs w:val="24"/>
              </w:rPr>
              <w:t>积极主动争取各类科研项目。</w:t>
            </w:r>
          </w:p>
          <w:p>
            <w:pPr>
              <w:pStyle w:val="20"/>
              <w:keepNext w:val="0"/>
              <w:keepLines w:val="0"/>
              <w:pageBreakBefore w:val="0"/>
              <w:numPr>
                <w:ilvl w:val="0"/>
                <w:numId w:val="0"/>
              </w:numPr>
              <w:kinsoku/>
              <w:wordWrap/>
              <w:overflowPunct/>
              <w:topLinePunct w:val="0"/>
              <w:autoSpaceDE/>
              <w:autoSpaceDN/>
              <w:bidi w:val="0"/>
              <w:adjustRightInd/>
              <w:snapToGrid/>
              <w:spacing w:line="400" w:lineRule="exact"/>
              <w:ind w:left="720" w:leftChars="0" w:hanging="720" w:firstLineChars="0"/>
              <w:textAlignment w:val="auto"/>
              <w:rPr>
                <w:rFonts w:asciiTheme="minorEastAsia" w:hAnsiTheme="minorEastAsia"/>
                <w:sz w:val="24"/>
                <w:szCs w:val="24"/>
              </w:rPr>
            </w:pPr>
            <w:r>
              <w:rPr>
                <w:rFonts w:hint="default" w:asciiTheme="minorHAnsi" w:hAnsiTheme="minorHAnsi" w:eastAsiaTheme="minorEastAsia" w:cstheme="minorBidi"/>
                <w:kern w:val="2"/>
                <w:sz w:val="24"/>
                <w:szCs w:val="24"/>
                <w:lang w:val="en-US" w:eastAsia="zh-CN" w:bidi="ar-SA"/>
              </w:rPr>
              <w:t>（4）</w:t>
            </w:r>
            <w:r>
              <w:rPr>
                <w:rFonts w:hint="eastAsia" w:asciiTheme="minorEastAsia" w:hAnsiTheme="minorEastAsia"/>
                <w:sz w:val="24"/>
                <w:szCs w:val="24"/>
              </w:rPr>
              <w:t>认真完成各类科研平台运行维护和考核工作。</w:t>
            </w:r>
          </w:p>
          <w:p>
            <w:pPr>
              <w:pStyle w:val="20"/>
              <w:keepNext w:val="0"/>
              <w:keepLines w:val="0"/>
              <w:pageBreakBefore w:val="0"/>
              <w:numPr>
                <w:ilvl w:val="0"/>
                <w:numId w:val="0"/>
              </w:numPr>
              <w:kinsoku/>
              <w:wordWrap/>
              <w:overflowPunct/>
              <w:topLinePunct w:val="0"/>
              <w:autoSpaceDE/>
              <w:autoSpaceDN/>
              <w:bidi w:val="0"/>
              <w:adjustRightInd/>
              <w:snapToGrid/>
              <w:spacing w:line="400" w:lineRule="exact"/>
              <w:ind w:left="720" w:leftChars="0" w:hanging="720" w:firstLineChars="0"/>
              <w:textAlignment w:val="auto"/>
              <w:rPr>
                <w:rFonts w:asciiTheme="minorEastAsia" w:hAnsiTheme="minorEastAsia"/>
                <w:sz w:val="24"/>
                <w:szCs w:val="24"/>
              </w:rPr>
            </w:pPr>
            <w:r>
              <w:rPr>
                <w:rFonts w:hint="default" w:asciiTheme="minorHAnsi" w:hAnsiTheme="minorHAnsi" w:eastAsiaTheme="minorEastAsia" w:cstheme="minorBidi"/>
                <w:kern w:val="2"/>
                <w:sz w:val="24"/>
                <w:szCs w:val="24"/>
                <w:lang w:val="en-US" w:eastAsia="zh-CN" w:bidi="ar-SA"/>
              </w:rPr>
              <w:t>（5）</w:t>
            </w:r>
            <w:r>
              <w:rPr>
                <w:rFonts w:hint="eastAsia" w:asciiTheme="minorEastAsia" w:hAnsiTheme="minorEastAsia"/>
                <w:sz w:val="24"/>
                <w:szCs w:val="24"/>
              </w:rPr>
              <w:t>加强研究生日常教育与管理。</w:t>
            </w:r>
          </w:p>
          <w:p>
            <w:pPr>
              <w:pStyle w:val="20"/>
              <w:keepNext w:val="0"/>
              <w:keepLines w:val="0"/>
              <w:pageBreakBefore w:val="0"/>
              <w:numPr>
                <w:ilvl w:val="0"/>
                <w:numId w:val="0"/>
              </w:numPr>
              <w:kinsoku/>
              <w:wordWrap/>
              <w:overflowPunct/>
              <w:topLinePunct w:val="0"/>
              <w:autoSpaceDE/>
              <w:autoSpaceDN/>
              <w:bidi w:val="0"/>
              <w:adjustRightInd/>
              <w:snapToGrid/>
              <w:spacing w:line="400" w:lineRule="exact"/>
              <w:ind w:left="720" w:leftChars="0" w:hanging="720" w:firstLineChars="0"/>
              <w:textAlignment w:val="auto"/>
              <w:rPr>
                <w:sz w:val="24"/>
                <w:szCs w:val="24"/>
                <w:lang w:val="zh-CN"/>
              </w:rPr>
            </w:pPr>
            <w:r>
              <w:rPr>
                <w:rFonts w:hint="default" w:asciiTheme="minorHAnsi" w:hAnsiTheme="minorHAnsi" w:eastAsiaTheme="minorEastAsia" w:cstheme="minorBidi"/>
                <w:kern w:val="2"/>
                <w:sz w:val="24"/>
                <w:szCs w:val="24"/>
                <w:lang w:val="zh-CN" w:eastAsia="zh-CN" w:bidi="ar-SA"/>
              </w:rPr>
              <w:t>（6）</w:t>
            </w:r>
            <w:r>
              <w:rPr>
                <w:rFonts w:hint="eastAsia" w:asciiTheme="minorEastAsia" w:hAnsiTheme="minorEastAsia"/>
                <w:sz w:val="24"/>
                <w:szCs w:val="24"/>
              </w:rPr>
              <w:t>积极完成学校布置的各项任务。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pStyle w:val="20"/>
              <w:keepNext w:val="0"/>
              <w:keepLines w:val="0"/>
              <w:pageBreakBefore w:val="0"/>
              <w:numPr>
                <w:ilvl w:val="0"/>
                <w:numId w:val="0"/>
              </w:numPr>
              <w:kinsoku/>
              <w:wordWrap/>
              <w:overflowPunct/>
              <w:topLinePunct w:val="0"/>
              <w:autoSpaceDE/>
              <w:autoSpaceDN/>
              <w:bidi w:val="0"/>
              <w:adjustRightInd/>
              <w:snapToGrid/>
              <w:spacing w:line="400" w:lineRule="exact"/>
              <w:ind w:left="720" w:leftChars="0" w:hanging="720" w:firstLineChars="0"/>
              <w:textAlignment w:val="auto"/>
              <w:rPr>
                <w:rFonts w:ascii="宋体" w:hAnsi="宋体"/>
                <w:sz w:val="24"/>
                <w:szCs w:val="24"/>
              </w:rPr>
            </w:pPr>
            <w:r>
              <w:rPr>
                <w:rFonts w:hint="default" w:asciiTheme="minorHAnsi" w:hAnsiTheme="minorHAnsi" w:eastAsiaTheme="minorEastAsia" w:cstheme="minorBidi"/>
                <w:kern w:val="2"/>
                <w:sz w:val="24"/>
                <w:szCs w:val="24"/>
                <w:lang w:val="en-US" w:eastAsia="zh-CN" w:bidi="ar-SA"/>
              </w:rPr>
              <w:t>（1）</w:t>
            </w:r>
            <w:r>
              <w:rPr>
                <w:rFonts w:asciiTheme="minorEastAsia" w:hAnsiTheme="minorEastAsia"/>
                <w:sz w:val="24"/>
                <w:szCs w:val="24"/>
              </w:rPr>
              <w:t>围</w:t>
            </w:r>
            <w:r>
              <w:rPr>
                <w:rFonts w:ascii="宋体" w:hAnsi="宋体"/>
                <w:sz w:val="24"/>
                <w:szCs w:val="24"/>
              </w:rPr>
              <w:t>绕光学成像系统与显示技术、微波太赫兹技术装备两大传统领域，</w:t>
            </w:r>
            <w:r>
              <w:rPr>
                <w:rFonts w:hint="eastAsia" w:ascii="宋体" w:hAnsi="宋体"/>
                <w:sz w:val="24"/>
                <w:szCs w:val="24"/>
              </w:rPr>
              <w:t>积极开展有组织科研，</w:t>
            </w:r>
            <w:r>
              <w:rPr>
                <w:rFonts w:ascii="宋体" w:hAnsi="宋体"/>
                <w:sz w:val="24"/>
                <w:szCs w:val="24"/>
              </w:rPr>
              <w:t>深入凝练学科方向</w:t>
            </w:r>
            <w:r>
              <w:rPr>
                <w:rFonts w:hint="eastAsia" w:ascii="宋体" w:hAnsi="宋体"/>
                <w:sz w:val="24"/>
                <w:szCs w:val="24"/>
              </w:rPr>
              <w:t>，优化团队构成，加强交叉融合</w:t>
            </w:r>
            <w:r>
              <w:rPr>
                <w:rFonts w:ascii="宋体" w:hAnsi="宋体"/>
                <w:sz w:val="24"/>
                <w:szCs w:val="24"/>
              </w:rPr>
              <w:t>。</w:t>
            </w:r>
          </w:p>
          <w:p>
            <w:pPr>
              <w:pStyle w:val="20"/>
              <w:keepNext w:val="0"/>
              <w:keepLines w:val="0"/>
              <w:pageBreakBefore w:val="0"/>
              <w:numPr>
                <w:ilvl w:val="0"/>
                <w:numId w:val="0"/>
              </w:numPr>
              <w:kinsoku/>
              <w:wordWrap/>
              <w:overflowPunct/>
              <w:topLinePunct w:val="0"/>
              <w:autoSpaceDE/>
              <w:autoSpaceDN/>
              <w:bidi w:val="0"/>
              <w:adjustRightInd/>
              <w:snapToGrid/>
              <w:spacing w:line="400" w:lineRule="exact"/>
              <w:ind w:left="720" w:leftChars="0" w:hanging="720" w:firstLineChars="0"/>
              <w:textAlignment w:val="auto"/>
              <w:rPr>
                <w:rFonts w:ascii="宋体" w:hAnsi="宋体"/>
                <w:sz w:val="24"/>
                <w:szCs w:val="24"/>
              </w:rPr>
            </w:pPr>
            <w:r>
              <w:rPr>
                <w:rFonts w:hint="default" w:asciiTheme="minorHAnsi" w:hAnsiTheme="minorHAnsi" w:eastAsiaTheme="minorEastAsia" w:cstheme="minorBidi"/>
                <w:kern w:val="2"/>
                <w:sz w:val="24"/>
                <w:szCs w:val="24"/>
                <w:lang w:val="en-US" w:eastAsia="zh-CN" w:bidi="ar-SA"/>
              </w:rPr>
              <w:t>（2）</w:t>
            </w:r>
            <w:r>
              <w:rPr>
                <w:rFonts w:hint="eastAsia" w:ascii="宋体" w:hAnsi="宋体"/>
                <w:sz w:val="24"/>
                <w:szCs w:val="24"/>
              </w:rPr>
              <w:t>注重研究生综合素质提升，积极培养研究生科学研究能力和工程实践能力。在读研究生1</w:t>
            </w:r>
            <w:r>
              <w:rPr>
                <w:rFonts w:ascii="宋体" w:hAnsi="宋体"/>
                <w:sz w:val="24"/>
                <w:szCs w:val="24"/>
              </w:rPr>
              <w:t>90</w:t>
            </w:r>
            <w:r>
              <w:rPr>
                <w:rFonts w:hint="eastAsia" w:ascii="宋体" w:hAnsi="宋体"/>
                <w:sz w:val="24"/>
                <w:szCs w:val="24"/>
              </w:rPr>
              <w:t>余名，</w:t>
            </w:r>
            <w:r>
              <w:rPr>
                <w:rFonts w:ascii="宋体" w:hAnsi="宋体"/>
                <w:sz w:val="24"/>
                <w:szCs w:val="24"/>
              </w:rPr>
              <w:t>40</w:t>
            </w:r>
            <w:r>
              <w:rPr>
                <w:rFonts w:hint="eastAsia" w:ascii="宋体" w:hAnsi="宋体"/>
                <w:sz w:val="24"/>
                <w:szCs w:val="24"/>
              </w:rPr>
              <w:t>余人次研究生参加线下、线上学术交流活动或学科竞赛活动。</w:t>
            </w:r>
          </w:p>
          <w:p>
            <w:pPr>
              <w:pStyle w:val="20"/>
              <w:keepNext w:val="0"/>
              <w:keepLines w:val="0"/>
              <w:pageBreakBefore w:val="0"/>
              <w:numPr>
                <w:ilvl w:val="0"/>
                <w:numId w:val="0"/>
              </w:numPr>
              <w:kinsoku/>
              <w:wordWrap/>
              <w:overflowPunct/>
              <w:topLinePunct w:val="0"/>
              <w:autoSpaceDE/>
              <w:autoSpaceDN/>
              <w:bidi w:val="0"/>
              <w:adjustRightInd/>
              <w:snapToGrid/>
              <w:spacing w:line="400" w:lineRule="exact"/>
              <w:ind w:left="720" w:leftChars="0" w:hanging="720" w:firstLineChars="0"/>
              <w:textAlignment w:val="auto"/>
              <w:rPr>
                <w:sz w:val="24"/>
                <w:szCs w:val="24"/>
                <w:lang w:val="zh-CN"/>
              </w:rPr>
            </w:pPr>
            <w:r>
              <w:rPr>
                <w:rFonts w:hint="default" w:asciiTheme="minorHAnsi" w:hAnsiTheme="minorHAnsi" w:eastAsiaTheme="minorEastAsia" w:cstheme="minorBidi"/>
                <w:kern w:val="2"/>
                <w:sz w:val="24"/>
                <w:szCs w:val="24"/>
                <w:lang w:val="zh-CN" w:eastAsia="zh-CN" w:bidi="ar-SA"/>
              </w:rPr>
              <w:t>（3）</w:t>
            </w:r>
            <w:r>
              <w:rPr>
                <w:rFonts w:hint="eastAsia" w:asciiTheme="minorEastAsia" w:hAnsiTheme="minorEastAsia"/>
                <w:sz w:val="24"/>
                <w:szCs w:val="24"/>
              </w:rPr>
              <w:t>截至202</w:t>
            </w:r>
            <w:r>
              <w:rPr>
                <w:rFonts w:asciiTheme="minorEastAsia" w:hAnsiTheme="minorEastAsia"/>
                <w:sz w:val="24"/>
                <w:szCs w:val="24"/>
              </w:rPr>
              <w:t>3</w:t>
            </w:r>
            <w:r>
              <w:rPr>
                <w:rFonts w:hint="eastAsia" w:asciiTheme="minorEastAsia" w:hAnsiTheme="minorEastAsia"/>
                <w:sz w:val="24"/>
                <w:szCs w:val="24"/>
              </w:rPr>
              <w:t>年1</w:t>
            </w:r>
            <w:r>
              <w:rPr>
                <w:rFonts w:asciiTheme="minorEastAsia" w:hAnsiTheme="minorEastAsia"/>
                <w:sz w:val="24"/>
                <w:szCs w:val="24"/>
              </w:rPr>
              <w:t>2</w:t>
            </w:r>
            <w:r>
              <w:rPr>
                <w:rFonts w:hint="eastAsia" w:asciiTheme="minorEastAsia" w:hAnsiTheme="minorEastAsia"/>
                <w:sz w:val="24"/>
                <w:szCs w:val="24"/>
              </w:rPr>
              <w:t>月</w:t>
            </w:r>
            <w:r>
              <w:rPr>
                <w:rFonts w:asciiTheme="minorEastAsia" w:hAnsiTheme="minorEastAsia"/>
                <w:sz w:val="24"/>
                <w:szCs w:val="24"/>
              </w:rPr>
              <w:t>21</w:t>
            </w:r>
            <w:r>
              <w:rPr>
                <w:rFonts w:hint="eastAsia" w:asciiTheme="minorEastAsia" w:hAnsiTheme="minorEastAsia"/>
                <w:sz w:val="24"/>
                <w:szCs w:val="24"/>
              </w:rPr>
              <w:t>日，计划类项目到账3</w:t>
            </w:r>
            <w:r>
              <w:rPr>
                <w:rFonts w:asciiTheme="minorEastAsia" w:hAnsiTheme="minorEastAsia"/>
                <w:sz w:val="24"/>
                <w:szCs w:val="24"/>
              </w:rPr>
              <w:t>9</w:t>
            </w:r>
            <w:r>
              <w:rPr>
                <w:rFonts w:hint="eastAsia" w:asciiTheme="minorEastAsia" w:hAnsiTheme="minorEastAsia"/>
                <w:sz w:val="24"/>
                <w:szCs w:val="24"/>
              </w:rPr>
              <w:t>0.1万元，横向项目到账425.325万元，到账总经费</w:t>
            </w:r>
            <w:r>
              <w:rPr>
                <w:rFonts w:asciiTheme="minorEastAsia" w:hAnsiTheme="minorEastAsia"/>
                <w:sz w:val="24"/>
                <w:szCs w:val="24"/>
              </w:rPr>
              <w:t>815</w:t>
            </w:r>
            <w:r>
              <w:rPr>
                <w:rFonts w:hint="eastAsia" w:asciiTheme="minorEastAsia" w:hAnsiTheme="minorEastAsia"/>
                <w:sz w:val="24"/>
                <w:szCs w:val="24"/>
              </w:rPr>
              <w:t>.425万元。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pStyle w:val="20"/>
              <w:keepNext w:val="0"/>
              <w:keepLines w:val="0"/>
              <w:pageBreakBefore w:val="0"/>
              <w:widowControl/>
              <w:numPr>
                <w:ilvl w:val="0"/>
                <w:numId w:val="0"/>
              </w:numPr>
              <w:kinsoku/>
              <w:wordWrap/>
              <w:overflowPunct/>
              <w:topLinePunct w:val="0"/>
              <w:autoSpaceDE/>
              <w:autoSpaceDN/>
              <w:bidi w:val="0"/>
              <w:adjustRightInd/>
              <w:snapToGrid/>
              <w:spacing w:line="400" w:lineRule="exact"/>
              <w:ind w:left="720" w:leftChars="0" w:hanging="720" w:firstLineChars="0"/>
              <w:textAlignment w:val="auto"/>
              <w:rPr>
                <w:rFonts w:ascii="宋体" w:hAnsi="宋体"/>
                <w:sz w:val="24"/>
                <w:szCs w:val="24"/>
              </w:rPr>
            </w:pPr>
            <w:r>
              <w:rPr>
                <w:rFonts w:hint="default" w:ascii="宋体" w:hAnsi="宋体" w:eastAsia="宋体" w:cs="Times New Roman"/>
                <w:kern w:val="2"/>
                <w:sz w:val="21"/>
                <w:szCs w:val="24"/>
                <w:lang w:val="en-US" w:eastAsia="zh-CN" w:bidi="ar-SA"/>
              </w:rPr>
              <w:t>（1）</w:t>
            </w:r>
            <w:r>
              <w:rPr>
                <w:rFonts w:hint="eastAsia" w:ascii="宋体" w:hAnsi="宋体"/>
                <w:sz w:val="24"/>
                <w:szCs w:val="24"/>
              </w:rPr>
              <w:t>实验室安全管理做到分工明确，监督到位，保障了科研工作的顺利进行。在学校2023“斛兵杯”教职工实验室安全技能大赛中，派出两队老师参加，在29支参赛队伍中，两队都获得涉化组二等奖。</w:t>
            </w:r>
          </w:p>
          <w:p>
            <w:pPr>
              <w:pStyle w:val="20"/>
              <w:keepNext w:val="0"/>
              <w:keepLines w:val="0"/>
              <w:pageBreakBefore w:val="0"/>
              <w:numPr>
                <w:ilvl w:val="0"/>
                <w:numId w:val="0"/>
              </w:numPr>
              <w:kinsoku/>
              <w:wordWrap/>
              <w:overflowPunct/>
              <w:topLinePunct w:val="0"/>
              <w:autoSpaceDE/>
              <w:autoSpaceDN/>
              <w:bidi w:val="0"/>
              <w:adjustRightInd/>
              <w:snapToGrid/>
              <w:spacing w:line="400" w:lineRule="exact"/>
              <w:ind w:left="720" w:leftChars="0" w:hanging="720" w:firstLineChars="0"/>
              <w:textAlignment w:val="auto"/>
              <w:rPr>
                <w:rFonts w:ascii="宋体" w:hAnsi="宋体"/>
                <w:sz w:val="24"/>
                <w:szCs w:val="24"/>
              </w:rPr>
            </w:pPr>
            <w:r>
              <w:rPr>
                <w:rFonts w:hint="default" w:ascii="宋体" w:hAnsi="宋体" w:eastAsia="宋体" w:cs="Times New Roman"/>
                <w:kern w:val="2"/>
                <w:sz w:val="21"/>
                <w:szCs w:val="24"/>
                <w:lang w:val="en-US" w:eastAsia="zh-CN" w:bidi="ar-SA"/>
              </w:rPr>
              <w:t>（2）</w:t>
            </w:r>
            <w:r>
              <w:rPr>
                <w:rFonts w:hint="eastAsia" w:ascii="宋体" w:hAnsi="宋体"/>
                <w:sz w:val="24"/>
                <w:szCs w:val="24"/>
              </w:rPr>
              <w:t>截至2</w:t>
            </w:r>
            <w:r>
              <w:rPr>
                <w:rFonts w:ascii="宋体" w:hAnsi="宋体"/>
                <w:sz w:val="24"/>
                <w:szCs w:val="24"/>
              </w:rPr>
              <w:t>023</w:t>
            </w:r>
            <w:r>
              <w:rPr>
                <w:rFonts w:hint="eastAsia" w:ascii="宋体" w:hAnsi="宋体"/>
                <w:sz w:val="24"/>
                <w:szCs w:val="24"/>
              </w:rPr>
              <w:t>年1</w:t>
            </w:r>
            <w:r>
              <w:rPr>
                <w:rFonts w:ascii="宋体" w:hAnsi="宋体"/>
                <w:sz w:val="24"/>
                <w:szCs w:val="24"/>
              </w:rPr>
              <w:t>2</w:t>
            </w:r>
            <w:r>
              <w:rPr>
                <w:rFonts w:hint="eastAsia" w:ascii="宋体" w:hAnsi="宋体"/>
                <w:sz w:val="24"/>
                <w:szCs w:val="24"/>
              </w:rPr>
              <w:t>月</w:t>
            </w:r>
            <w:r>
              <w:rPr>
                <w:rFonts w:ascii="宋体" w:hAnsi="宋体"/>
                <w:sz w:val="24"/>
                <w:szCs w:val="24"/>
              </w:rPr>
              <w:t>21</w:t>
            </w:r>
            <w:r>
              <w:rPr>
                <w:rFonts w:hint="eastAsia" w:ascii="宋体" w:hAnsi="宋体"/>
                <w:sz w:val="24"/>
                <w:szCs w:val="24"/>
              </w:rPr>
              <w:t xml:space="preserve">日，新增国家重点研发计划参与1项，安徽省自然科学基金主持2项，安徽高校协同创新项目主持1项，安徽省科技重大专项项目参与1项，安徽省重点研究与开发计划项目参与1项，横向项目9项。 </w:t>
            </w:r>
          </w:p>
          <w:p>
            <w:pPr>
              <w:pStyle w:val="20"/>
              <w:keepNext w:val="0"/>
              <w:keepLines w:val="0"/>
              <w:pageBreakBefore w:val="0"/>
              <w:numPr>
                <w:ilvl w:val="0"/>
                <w:numId w:val="0"/>
              </w:numPr>
              <w:kinsoku/>
              <w:wordWrap/>
              <w:overflowPunct/>
              <w:topLinePunct w:val="0"/>
              <w:autoSpaceDE/>
              <w:autoSpaceDN/>
              <w:bidi w:val="0"/>
              <w:adjustRightInd/>
              <w:snapToGrid/>
              <w:spacing w:line="400" w:lineRule="exact"/>
              <w:ind w:left="720" w:leftChars="0" w:hanging="720" w:firstLineChars="0"/>
              <w:textAlignment w:val="auto"/>
              <w:rPr>
                <w:rFonts w:ascii="宋体" w:hAnsi="宋体"/>
                <w:sz w:val="24"/>
                <w:szCs w:val="24"/>
              </w:rPr>
            </w:pPr>
            <w:r>
              <w:rPr>
                <w:rFonts w:hint="default" w:ascii="宋体" w:hAnsi="宋体" w:eastAsia="宋体" w:cs="Times New Roman"/>
                <w:kern w:val="2"/>
                <w:sz w:val="21"/>
                <w:szCs w:val="24"/>
                <w:lang w:val="en-US" w:eastAsia="zh-CN" w:bidi="ar-SA"/>
              </w:rPr>
              <w:t>（3）</w:t>
            </w:r>
            <w:r>
              <w:rPr>
                <w:rFonts w:hint="eastAsia" w:ascii="宋体" w:hAnsi="宋体"/>
                <w:sz w:val="24"/>
                <w:szCs w:val="24"/>
              </w:rPr>
              <w:t>202</w:t>
            </w:r>
            <w:r>
              <w:rPr>
                <w:rFonts w:ascii="宋体" w:hAnsi="宋体"/>
                <w:sz w:val="24"/>
                <w:szCs w:val="24"/>
              </w:rPr>
              <w:t>3</w:t>
            </w:r>
            <w:r>
              <w:rPr>
                <w:rFonts w:hint="eastAsia" w:ascii="宋体" w:hAnsi="宋体"/>
                <w:sz w:val="24"/>
                <w:szCs w:val="24"/>
              </w:rPr>
              <w:t>年，以合肥工业大学为第一单位发表论文57篇，其中SCI收录54篇，校定核心期刊3篇。获授权发明专利9项。</w:t>
            </w:r>
          </w:p>
        </w:tc>
      </w:tr>
    </w:tbl>
    <w:p>
      <w:r>
        <w:br w:type="page"/>
      </w:r>
    </w:p>
    <w:p>
      <w:pPr>
        <w:pStyle w:val="4"/>
        <w:rPr>
          <w:rFonts w:asciiTheme="majorEastAsia" w:hAnsiTheme="majorEastAsia" w:cstheme="majorEastAsia"/>
          <w:sz w:val="30"/>
          <w:szCs w:val="30"/>
          <w:shd w:val="clear" w:color="auto" w:fill="FFFFFF"/>
        </w:rPr>
      </w:pPr>
      <w:bookmarkStart w:id="31" w:name="_Toc32228"/>
      <w:r>
        <w:rPr>
          <w:rFonts w:hint="eastAsia" w:asciiTheme="majorEastAsia" w:hAnsiTheme="majorEastAsia" w:cstheme="majorEastAsia"/>
          <w:kern w:val="0"/>
          <w:sz w:val="30"/>
          <w:szCs w:val="30"/>
        </w:rPr>
        <w:t>汽车工程技术研究院</w:t>
      </w:r>
      <w:r>
        <w:rPr>
          <w:rFonts w:hint="eastAsia" w:asciiTheme="majorEastAsia" w:hAnsiTheme="majorEastAsia" w:cstheme="majorEastAsia"/>
          <w:sz w:val="30"/>
          <w:szCs w:val="30"/>
          <w:shd w:val="clear" w:color="auto" w:fill="FFFFFF"/>
        </w:rPr>
        <w:t>2023年度业绩简表</w:t>
      </w:r>
      <w:bookmarkEnd w:id="31"/>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2889"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汽车工程技术研究院</w:t>
            </w:r>
          </w:p>
        </w:tc>
        <w:tc>
          <w:tcPr>
            <w:tcW w:w="1701"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318"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pStyle w:val="20"/>
              <w:widowControl/>
              <w:numPr>
                <w:ilvl w:val="0"/>
                <w:numId w:val="6"/>
              </w:numPr>
              <w:spacing w:line="360" w:lineRule="exact"/>
              <w:ind w:firstLineChars="0"/>
              <w:jc w:val="left"/>
              <w:rPr>
                <w:rFonts w:ascii="宋体" w:hAnsi="宋体" w:eastAsia="宋体" w:cs="Times New Roman"/>
                <w:sz w:val="21"/>
                <w:szCs w:val="21"/>
              </w:rPr>
            </w:pPr>
            <w:r>
              <w:rPr>
                <w:rFonts w:hint="eastAsia" w:ascii="宋体" w:hAnsi="宋体" w:eastAsia="宋体" w:cs="Times New Roman"/>
                <w:sz w:val="21"/>
                <w:szCs w:val="21"/>
              </w:rPr>
              <w:t>1.积极开展支部党建与思政工作，认真学习贯彻</w:t>
            </w:r>
            <w:r>
              <w:rPr>
                <w:rFonts w:ascii="宋体" w:hAnsi="宋体" w:eastAsia="宋体" w:cs="Times New Roman"/>
                <w:sz w:val="21"/>
                <w:szCs w:val="21"/>
              </w:rPr>
              <w:t>党的二十大精神</w:t>
            </w:r>
            <w:r>
              <w:rPr>
                <w:rFonts w:hint="eastAsia" w:ascii="宋体" w:hAnsi="宋体" w:eastAsia="宋体" w:cs="Times New Roman"/>
                <w:sz w:val="21"/>
                <w:szCs w:val="21"/>
              </w:rPr>
              <w:t>。</w:t>
            </w:r>
          </w:p>
          <w:p>
            <w:pPr>
              <w:pStyle w:val="20"/>
              <w:widowControl/>
              <w:numPr>
                <w:ilvl w:val="0"/>
                <w:numId w:val="6"/>
              </w:numPr>
              <w:spacing w:line="360" w:lineRule="exact"/>
              <w:ind w:firstLineChars="0"/>
              <w:jc w:val="left"/>
              <w:rPr>
                <w:rFonts w:ascii="宋体" w:hAnsi="宋体" w:eastAsia="宋体" w:cs="Times New Roman"/>
                <w:sz w:val="21"/>
                <w:szCs w:val="21"/>
              </w:rPr>
            </w:pPr>
            <w:r>
              <w:rPr>
                <w:rFonts w:hint="eastAsia" w:ascii="宋体" w:hAnsi="宋体" w:eastAsia="宋体" w:cs="Times New Roman"/>
                <w:sz w:val="21"/>
                <w:szCs w:val="21"/>
              </w:rPr>
              <w:t>2.大力推进科技研发与成果转化工作。</w:t>
            </w:r>
          </w:p>
          <w:p>
            <w:pPr>
              <w:pStyle w:val="20"/>
              <w:widowControl/>
              <w:numPr>
                <w:ilvl w:val="0"/>
                <w:numId w:val="6"/>
              </w:numPr>
              <w:spacing w:line="360" w:lineRule="exact"/>
              <w:ind w:firstLineChars="0"/>
              <w:jc w:val="left"/>
              <w:rPr>
                <w:rFonts w:ascii="宋体" w:hAnsi="宋体" w:eastAsia="宋体" w:cs="Times New Roman"/>
                <w:sz w:val="21"/>
                <w:szCs w:val="21"/>
              </w:rPr>
            </w:pPr>
            <w:r>
              <w:rPr>
                <w:rFonts w:hint="eastAsia" w:ascii="宋体" w:hAnsi="宋体" w:eastAsia="宋体" w:cs="Times New Roman"/>
                <w:sz w:val="21"/>
                <w:szCs w:val="21"/>
              </w:rPr>
              <w:t>3.加强研究生培养过程管理，积极优化培养环境，大力提升培养质量。</w:t>
            </w:r>
          </w:p>
          <w:p>
            <w:pPr>
              <w:pStyle w:val="20"/>
              <w:widowControl/>
              <w:numPr>
                <w:ilvl w:val="0"/>
                <w:numId w:val="6"/>
              </w:numPr>
              <w:spacing w:line="360" w:lineRule="exact"/>
              <w:ind w:firstLineChars="0"/>
              <w:jc w:val="left"/>
              <w:rPr>
                <w:rFonts w:ascii="宋体" w:hAnsi="宋体" w:eastAsia="宋体" w:cs="Times New Roman"/>
                <w:sz w:val="21"/>
                <w:szCs w:val="21"/>
              </w:rPr>
            </w:pPr>
            <w:r>
              <w:rPr>
                <w:rFonts w:hint="eastAsia" w:ascii="宋体" w:hAnsi="宋体" w:eastAsia="宋体" w:cs="Times New Roman"/>
                <w:sz w:val="21"/>
                <w:szCs w:val="21"/>
              </w:rPr>
              <w:t>4.加强实验室建设与管理，积极规划解决实验室建设用场地问题。</w:t>
            </w:r>
          </w:p>
          <w:p>
            <w:pPr>
              <w:pStyle w:val="20"/>
              <w:widowControl/>
              <w:numPr>
                <w:ilvl w:val="0"/>
                <w:numId w:val="6"/>
              </w:numPr>
              <w:spacing w:line="360" w:lineRule="exact"/>
              <w:ind w:firstLineChars="0"/>
              <w:jc w:val="left"/>
              <w:rPr>
                <w:lang w:val="zh-CN"/>
              </w:rPr>
            </w:pPr>
            <w:r>
              <w:rPr>
                <w:rFonts w:hint="eastAsia" w:ascii="宋体" w:hAnsi="宋体" w:eastAsia="宋体" w:cs="Times New Roman"/>
                <w:sz w:val="21"/>
                <w:szCs w:val="21"/>
              </w:rPr>
              <w:t>5.做好各项行政事务，积极完成学校布置的各项工作。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pStyle w:val="20"/>
              <w:widowControl/>
              <w:numPr>
                <w:ilvl w:val="0"/>
                <w:numId w:val="0"/>
              </w:numPr>
              <w:spacing w:line="360" w:lineRule="exact"/>
              <w:ind w:left="371" w:leftChars="0" w:hanging="284" w:firstLineChars="0"/>
              <w:jc w:val="left"/>
              <w:rPr>
                <w:rFonts w:ascii="宋体" w:hAnsi="宋体" w:eastAsia="宋体" w:cs="Times New Roman"/>
                <w:sz w:val="21"/>
                <w:szCs w:val="21"/>
              </w:rPr>
            </w:pPr>
            <w:r>
              <w:rPr>
                <w:rFonts w:hint="default" w:ascii="宋体" w:hAnsi="宋体" w:eastAsia="宋体" w:cs="Times New Roman"/>
                <w:kern w:val="2"/>
                <w:sz w:val="21"/>
                <w:szCs w:val="21"/>
                <w:lang w:val="en-US" w:eastAsia="zh-CN" w:bidi="ar-SA"/>
              </w:rPr>
              <w:t>1.</w:t>
            </w:r>
            <w:r>
              <w:rPr>
                <w:rFonts w:hint="eastAsia" w:ascii="宋体" w:hAnsi="宋体" w:eastAsia="宋体" w:cs="Times New Roman"/>
                <w:sz w:val="21"/>
                <w:szCs w:val="21"/>
              </w:rPr>
              <w:t>2023年科研到账经费合计974万元，其中横向到账经费总额837.46万元，另有国家重点研发计划项目经费340万已立项未到账。</w:t>
            </w:r>
          </w:p>
          <w:p>
            <w:pPr>
              <w:pStyle w:val="20"/>
              <w:widowControl/>
              <w:numPr>
                <w:ilvl w:val="0"/>
                <w:numId w:val="0"/>
              </w:numPr>
              <w:spacing w:line="360" w:lineRule="exact"/>
              <w:ind w:left="371" w:leftChars="0" w:hanging="284" w:firstLineChars="0"/>
              <w:jc w:val="left"/>
              <w:rPr>
                <w:rFonts w:ascii="宋体" w:hAnsi="宋体" w:eastAsia="宋体" w:cs="Times New Roman"/>
                <w:sz w:val="21"/>
                <w:szCs w:val="21"/>
              </w:rPr>
            </w:pPr>
            <w:r>
              <w:rPr>
                <w:rFonts w:hint="default" w:ascii="宋体" w:hAnsi="宋体" w:eastAsia="宋体" w:cs="Times New Roman"/>
                <w:kern w:val="2"/>
                <w:sz w:val="21"/>
                <w:szCs w:val="21"/>
                <w:lang w:val="en-US" w:eastAsia="zh-CN" w:bidi="ar-SA"/>
              </w:rPr>
              <w:t>2.</w:t>
            </w:r>
            <w:r>
              <w:rPr>
                <w:rFonts w:hint="eastAsia" w:ascii="宋体" w:hAnsi="宋体" w:eastAsia="宋体" w:cs="Times New Roman"/>
                <w:sz w:val="21"/>
                <w:szCs w:val="21"/>
              </w:rPr>
              <w:t>年内授权发明专利</w:t>
            </w:r>
            <w:r>
              <w:rPr>
                <w:rFonts w:ascii="宋体" w:hAnsi="宋体" w:eastAsia="宋体" w:cs="Times New Roman"/>
                <w:sz w:val="21"/>
                <w:szCs w:val="21"/>
              </w:rPr>
              <w:t>20</w:t>
            </w:r>
            <w:r>
              <w:rPr>
                <w:rFonts w:hint="eastAsia" w:ascii="宋体" w:hAnsi="宋体" w:eastAsia="宋体" w:cs="Times New Roman"/>
                <w:sz w:val="21"/>
                <w:szCs w:val="21"/>
              </w:rPr>
              <w:t>件，其中美国PCT发明专利1件。</w:t>
            </w:r>
          </w:p>
          <w:p>
            <w:pPr>
              <w:widowControl/>
              <w:spacing w:line="360" w:lineRule="exact"/>
              <w:ind w:left="87"/>
              <w:jc w:val="left"/>
              <w:rPr>
                <w:rFonts w:ascii="宋体" w:hAnsi="宋体" w:eastAsia="宋体" w:cs="Times New Roman"/>
                <w:sz w:val="21"/>
                <w:szCs w:val="21"/>
              </w:rPr>
            </w:pPr>
            <w:r>
              <w:rPr>
                <w:rFonts w:hint="eastAsia" w:ascii="宋体" w:hAnsi="宋体" w:eastAsia="宋体" w:cs="Times New Roman"/>
                <w:sz w:val="21"/>
                <w:szCs w:val="21"/>
              </w:rPr>
              <w:t>3.发表论文28篇，其中sci收录16篇，出版学术专著2部。</w:t>
            </w:r>
          </w:p>
          <w:p>
            <w:pPr>
              <w:pStyle w:val="20"/>
              <w:widowControl/>
              <w:spacing w:line="360" w:lineRule="exact"/>
              <w:ind w:left="371" w:hanging="284" w:firstLineChars="0"/>
              <w:jc w:val="left"/>
              <w:rPr>
                <w:rFonts w:ascii="宋体" w:hAnsi="宋体" w:eastAsia="宋体" w:cs="Times New Roman"/>
                <w:sz w:val="21"/>
                <w:szCs w:val="21"/>
              </w:rPr>
            </w:pPr>
            <w:r>
              <w:rPr>
                <w:rFonts w:hint="eastAsia" w:ascii="宋体" w:hAnsi="宋体" w:eastAsia="宋体" w:cs="Times New Roman"/>
                <w:sz w:val="21"/>
                <w:szCs w:val="21"/>
              </w:rPr>
              <w:t>4.新招硕士研究生</w:t>
            </w:r>
            <w:r>
              <w:rPr>
                <w:rFonts w:ascii="宋体" w:hAnsi="宋体" w:eastAsia="宋体" w:cs="Times New Roman"/>
                <w:sz w:val="21"/>
                <w:szCs w:val="21"/>
              </w:rPr>
              <w:t>2</w:t>
            </w:r>
            <w:r>
              <w:rPr>
                <w:rFonts w:hint="eastAsia" w:ascii="宋体" w:hAnsi="宋体" w:eastAsia="宋体" w:cs="Times New Roman"/>
                <w:sz w:val="21"/>
                <w:szCs w:val="21"/>
              </w:rPr>
              <w:t>6</w:t>
            </w:r>
            <w:r>
              <w:rPr>
                <w:rFonts w:ascii="宋体" w:hAnsi="宋体" w:eastAsia="宋体" w:cs="Times New Roman"/>
                <w:sz w:val="21"/>
                <w:szCs w:val="21"/>
              </w:rPr>
              <w:t>人，博士</w:t>
            </w:r>
            <w:r>
              <w:rPr>
                <w:rFonts w:hint="eastAsia" w:ascii="宋体" w:hAnsi="宋体" w:eastAsia="宋体" w:cs="Times New Roman"/>
                <w:sz w:val="21"/>
                <w:szCs w:val="21"/>
              </w:rPr>
              <w:t>2人，目前在读硕士研究生总数78人，在读博士7人。</w:t>
            </w:r>
          </w:p>
          <w:p>
            <w:pPr>
              <w:pStyle w:val="20"/>
              <w:widowControl/>
              <w:spacing w:line="360" w:lineRule="exact"/>
              <w:ind w:left="371" w:hanging="284" w:firstLineChars="0"/>
              <w:jc w:val="left"/>
              <w:rPr>
                <w:rFonts w:ascii="宋体" w:hAnsi="宋体" w:eastAsia="宋体" w:cs="Times New Roman"/>
                <w:sz w:val="21"/>
                <w:szCs w:val="21"/>
              </w:rPr>
            </w:pPr>
            <w:r>
              <w:rPr>
                <w:rFonts w:hint="eastAsia" w:ascii="宋体" w:hAnsi="宋体" w:eastAsia="宋体" w:cs="Times New Roman"/>
                <w:sz w:val="21"/>
                <w:szCs w:val="21"/>
              </w:rPr>
              <w:t>5.响应学校号召，展开与汽车交通学院的深度融合，妥善组织专职科研人员转岗教学科研岗位。</w:t>
            </w:r>
          </w:p>
          <w:p>
            <w:pPr>
              <w:pStyle w:val="20"/>
              <w:widowControl/>
              <w:spacing w:line="360" w:lineRule="exact"/>
              <w:ind w:left="371" w:hanging="284" w:firstLineChars="0"/>
              <w:jc w:val="left"/>
              <w:rPr>
                <w:rFonts w:ascii="宋体" w:hAnsi="宋体" w:eastAsia="宋体" w:cs="Times New Roman"/>
                <w:sz w:val="21"/>
                <w:szCs w:val="21"/>
              </w:rPr>
            </w:pPr>
            <w:r>
              <w:rPr>
                <w:rFonts w:hint="eastAsia" w:ascii="宋体" w:hAnsi="宋体" w:eastAsia="宋体" w:cs="Times New Roman"/>
                <w:sz w:val="21"/>
                <w:szCs w:val="21"/>
              </w:rPr>
              <w:t>6.</w:t>
            </w:r>
            <w:r>
              <w:rPr>
                <w:rFonts w:ascii="宋体" w:hAnsi="宋体" w:eastAsia="宋体" w:cs="Times New Roman"/>
                <w:sz w:val="21"/>
                <w:szCs w:val="21"/>
              </w:rPr>
              <w:t>认真规划、多方沟通，积极尝试各种路径解决目前存在的设备闲置无安装场地问题。</w:t>
            </w:r>
          </w:p>
          <w:p>
            <w:pPr>
              <w:pStyle w:val="20"/>
              <w:widowControl/>
              <w:spacing w:line="360" w:lineRule="exact"/>
              <w:ind w:left="371" w:hanging="284" w:firstLineChars="0"/>
              <w:jc w:val="left"/>
              <w:rPr>
                <w:lang w:val="zh-CN"/>
              </w:rPr>
            </w:pPr>
            <w:r>
              <w:rPr>
                <w:rFonts w:hint="eastAsia" w:ascii="宋体" w:hAnsi="宋体" w:eastAsia="宋体" w:cs="Times New Roman"/>
                <w:sz w:val="21"/>
                <w:szCs w:val="21"/>
              </w:rPr>
              <w:t>7.顺利完成研究院的创新平台 “安徽省智能网联电动汽车创新中心”的中期评估与建设考核。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pStyle w:val="20"/>
              <w:widowControl/>
              <w:numPr>
                <w:ilvl w:val="0"/>
                <w:numId w:val="6"/>
              </w:numPr>
              <w:spacing w:line="360" w:lineRule="exact"/>
              <w:ind w:firstLineChars="0"/>
              <w:jc w:val="left"/>
              <w:rPr>
                <w:rFonts w:ascii="宋体" w:hAnsi="宋体" w:eastAsia="宋体" w:cs="Times New Roman"/>
                <w:sz w:val="21"/>
                <w:szCs w:val="21"/>
              </w:rPr>
            </w:pPr>
            <w:r>
              <w:rPr>
                <w:rFonts w:hint="eastAsia" w:ascii="宋体" w:hAnsi="宋体" w:eastAsia="宋体" w:cs="Times New Roman"/>
                <w:sz w:val="21"/>
                <w:szCs w:val="21"/>
              </w:rPr>
              <w:t>1.</w:t>
            </w:r>
            <w:r>
              <w:rPr>
                <w:rFonts w:ascii="宋体" w:hAnsi="宋体" w:eastAsia="宋体" w:cs="Times New Roman"/>
                <w:sz w:val="21"/>
                <w:szCs w:val="21"/>
              </w:rPr>
              <w:t>科研到账经费近几年持续保持较高水平，研究院专职科研人员</w:t>
            </w:r>
            <w:r>
              <w:rPr>
                <w:rFonts w:hint="eastAsia" w:ascii="宋体" w:hAnsi="宋体" w:eastAsia="宋体" w:cs="Times New Roman"/>
                <w:sz w:val="21"/>
                <w:szCs w:val="21"/>
              </w:rPr>
              <w:t>14人，人均年度到账科研经费69.5万元，科研项目主要为企业提供技术输出，项目数多、涉及面广、可持续性强。</w:t>
            </w:r>
          </w:p>
          <w:p>
            <w:pPr>
              <w:pStyle w:val="20"/>
              <w:widowControl/>
              <w:numPr>
                <w:ilvl w:val="0"/>
                <w:numId w:val="6"/>
              </w:numPr>
              <w:spacing w:line="360" w:lineRule="exact"/>
              <w:ind w:firstLineChars="0"/>
              <w:jc w:val="left"/>
              <w:rPr>
                <w:rFonts w:ascii="宋体" w:hAnsi="宋体" w:eastAsia="宋体" w:cs="Times New Roman"/>
                <w:sz w:val="21"/>
                <w:szCs w:val="21"/>
              </w:rPr>
            </w:pPr>
            <w:r>
              <w:rPr>
                <w:rFonts w:hint="eastAsia" w:ascii="宋体" w:hAnsi="宋体" w:eastAsia="宋体" w:cs="Times New Roman"/>
                <w:sz w:val="21"/>
                <w:szCs w:val="21"/>
              </w:rPr>
              <w:t>2.</w:t>
            </w:r>
            <w:r>
              <w:rPr>
                <w:rFonts w:ascii="宋体" w:hAnsi="宋体" w:eastAsia="宋体" w:cs="Times New Roman"/>
                <w:sz w:val="21"/>
                <w:szCs w:val="21"/>
              </w:rPr>
              <w:t>青年科研人员成长迅速，科研骨干整体年轻化，有助理研究员</w:t>
            </w:r>
            <w:r>
              <w:rPr>
                <w:rFonts w:hint="eastAsia" w:ascii="宋体" w:hAnsi="宋体" w:eastAsia="宋体" w:cs="Times New Roman"/>
                <w:sz w:val="21"/>
                <w:szCs w:val="21"/>
              </w:rPr>
              <w:t>职称的</w:t>
            </w:r>
            <w:r>
              <w:rPr>
                <w:rFonts w:ascii="宋体" w:hAnsi="宋体" w:eastAsia="宋体" w:cs="Times New Roman"/>
                <w:sz w:val="21"/>
                <w:szCs w:val="21"/>
              </w:rPr>
              <w:t>青年教师作为项目负责人牵头国家重点研究计划课题，有新入职第二年的青年教师横向项目年度到账经费</w:t>
            </w:r>
            <w:r>
              <w:rPr>
                <w:rFonts w:hint="eastAsia" w:ascii="宋体" w:hAnsi="宋体" w:eastAsia="宋体" w:cs="Times New Roman"/>
                <w:sz w:val="21"/>
                <w:szCs w:val="21"/>
              </w:rPr>
              <w:t>90万元等。</w:t>
            </w:r>
          </w:p>
          <w:p>
            <w:pPr>
              <w:pStyle w:val="20"/>
              <w:widowControl/>
              <w:numPr>
                <w:ilvl w:val="0"/>
                <w:numId w:val="6"/>
              </w:numPr>
              <w:spacing w:line="360" w:lineRule="exact"/>
              <w:ind w:firstLineChars="0"/>
              <w:jc w:val="left"/>
              <w:rPr>
                <w:rFonts w:ascii="宋体" w:hAnsi="宋体" w:eastAsia="宋体" w:cs="Times New Roman"/>
                <w:sz w:val="21"/>
                <w:szCs w:val="21"/>
              </w:rPr>
            </w:pPr>
            <w:r>
              <w:rPr>
                <w:rFonts w:hint="eastAsia" w:ascii="宋体" w:hAnsi="宋体" w:eastAsia="宋体" w:cs="Times New Roman"/>
                <w:sz w:val="21"/>
                <w:szCs w:val="21"/>
              </w:rPr>
              <w:t>3.科研工作稳中求进，深耕汽车及新能源的传统优势领域，持续在动力电池、电机、电控、线控底盘、主动安全等方面进行研究的同时，向纵深发展，从动力电池系统技术拓展到储能电池系统技术、从电机拓展到机器人一体化关节、从传统电控系统拓展到新型传感器等，并均获得纵向、横向项目支持。</w:t>
            </w:r>
          </w:p>
          <w:p>
            <w:pPr>
              <w:pStyle w:val="20"/>
              <w:widowControl/>
              <w:numPr>
                <w:ilvl w:val="0"/>
                <w:numId w:val="6"/>
              </w:numPr>
              <w:spacing w:line="440" w:lineRule="exact"/>
              <w:ind w:firstLineChars="0"/>
              <w:jc w:val="left"/>
              <w:rPr>
                <w:lang w:val="zh-CN"/>
              </w:rPr>
            </w:pPr>
            <w:r>
              <w:rPr>
                <w:rFonts w:hint="eastAsia" w:ascii="宋体" w:hAnsi="宋体" w:eastAsia="宋体" w:cs="Times New Roman"/>
                <w:sz w:val="21"/>
                <w:szCs w:val="21"/>
              </w:rPr>
              <w:t>4.</w:t>
            </w:r>
            <w:r>
              <w:rPr>
                <w:rFonts w:ascii="宋体" w:hAnsi="宋体" w:eastAsia="宋体" w:cs="Times New Roman"/>
                <w:sz w:val="21"/>
                <w:szCs w:val="21"/>
              </w:rPr>
              <w:t>研究生培养与工程实践深入结合，所有的研究生均深入参与项目，</w:t>
            </w:r>
            <w:r>
              <w:rPr>
                <w:rFonts w:hint="eastAsia" w:ascii="宋体" w:hAnsi="宋体" w:eastAsia="宋体" w:cs="Times New Roman"/>
                <w:sz w:val="21"/>
                <w:szCs w:val="21"/>
              </w:rPr>
              <w:t>并由导师从项目经费中支出一定金额，支持研究生自主创新、独立设计，全力培养具有实践能力的技能型、创新型人才。</w:t>
            </w:r>
          </w:p>
        </w:tc>
      </w:tr>
    </w:tbl>
    <w:p>
      <w:pPr>
        <w:rPr>
          <w:rFonts w:ascii="黑体" w:hAnsi="黑体" w:eastAsia="黑体" w:cs="黑体"/>
          <w:sz w:val="24"/>
          <w:szCs w:val="24"/>
        </w:rPr>
      </w:pPr>
    </w:p>
    <w:p>
      <w:pPr>
        <w:pStyle w:val="4"/>
        <w:rPr>
          <w:rFonts w:asciiTheme="majorEastAsia" w:hAnsiTheme="majorEastAsia" w:cstheme="majorEastAsia"/>
          <w:sz w:val="32"/>
          <w:szCs w:val="32"/>
          <w:shd w:val="clear" w:color="auto" w:fill="FFFFFF"/>
        </w:rPr>
      </w:pPr>
      <w:bookmarkStart w:id="32" w:name="_Toc16384"/>
      <w:r>
        <w:rPr>
          <w:rFonts w:hint="eastAsia" w:asciiTheme="majorEastAsia" w:hAnsiTheme="majorEastAsia" w:cstheme="majorEastAsia"/>
          <w:kern w:val="0"/>
          <w:sz w:val="32"/>
          <w:szCs w:val="32"/>
        </w:rPr>
        <w:t>工业装备与技术研究院</w:t>
      </w:r>
      <w:r>
        <w:rPr>
          <w:rFonts w:hint="eastAsia" w:asciiTheme="majorEastAsia" w:hAnsiTheme="majorEastAsia" w:cstheme="majorEastAsia"/>
          <w:sz w:val="32"/>
          <w:szCs w:val="32"/>
          <w:shd w:val="clear" w:color="auto" w:fill="FFFFFF"/>
        </w:rPr>
        <w:t>2023年度业绩简表</w:t>
      </w:r>
      <w:bookmarkEnd w:id="32"/>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3117"/>
        <w:gridCol w:w="1787"/>
        <w:gridCol w:w="2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3117"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工业装备与技术研究院</w:t>
            </w:r>
          </w:p>
        </w:tc>
        <w:tc>
          <w:tcPr>
            <w:tcW w:w="1787"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004"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snapToGrid w:val="0"/>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rPr>
              <w:t>认真组织主题教育学习活动；</w:t>
            </w:r>
          </w:p>
          <w:p>
            <w:pPr>
              <w:snapToGrid w:val="0"/>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认真开展师德师风教育；</w:t>
            </w:r>
          </w:p>
          <w:p>
            <w:pPr>
              <w:snapToGrid w:val="0"/>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rPr>
              <w:t>积极开展科学研究和人才培养工作；</w:t>
            </w:r>
          </w:p>
          <w:p>
            <w:pPr>
              <w:snapToGrid w:val="0"/>
              <w:rPr>
                <w:rFonts w:asciiTheme="minorEastAsia" w:hAnsiTheme="minorEastAsia" w:cstheme="minorEastAsia"/>
                <w:sz w:val="24"/>
                <w:szCs w:val="24"/>
                <w:lang w:val="zh-CN"/>
              </w:rPr>
            </w:pPr>
            <w:r>
              <w:rPr>
                <w:rFonts w:hint="eastAsia" w:asciiTheme="minorEastAsia" w:hAnsiTheme="minorEastAsia" w:cstheme="minorEastAsia"/>
                <w:sz w:val="24"/>
                <w:szCs w:val="24"/>
                <w:lang w:val="en-US" w:eastAsia="zh-CN"/>
              </w:rPr>
              <w:t>4.</w:t>
            </w:r>
            <w:r>
              <w:rPr>
                <w:rFonts w:hint="eastAsia" w:asciiTheme="minorEastAsia" w:hAnsiTheme="minorEastAsia" w:cstheme="minorEastAsia"/>
                <w:sz w:val="24"/>
                <w:szCs w:val="24"/>
              </w:rPr>
              <w:t>科研平台建设工作。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snapToGrid w:val="0"/>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rPr>
              <w:t>积极开展基础科研和应用基础科研工作；</w:t>
            </w:r>
          </w:p>
          <w:p>
            <w:pPr>
              <w:snapToGrid w:val="0"/>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积极承担纵横向科研项目，争取更多科研成果；</w:t>
            </w:r>
          </w:p>
          <w:p>
            <w:pPr>
              <w:snapToGrid w:val="0"/>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rPr>
              <w:t>开展研究生培养工作；</w:t>
            </w:r>
          </w:p>
          <w:p>
            <w:pPr>
              <w:snapToGrid w:val="0"/>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4.</w:t>
            </w:r>
            <w:r>
              <w:rPr>
                <w:rFonts w:hint="eastAsia" w:asciiTheme="minorEastAsia" w:hAnsiTheme="minorEastAsia" w:cstheme="minorEastAsia"/>
                <w:sz w:val="24"/>
                <w:szCs w:val="24"/>
              </w:rPr>
              <w:t>重视实验室安全工作；</w:t>
            </w:r>
          </w:p>
          <w:p>
            <w:pPr>
              <w:snapToGrid w:val="0"/>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5.</w:t>
            </w:r>
            <w:r>
              <w:rPr>
                <w:rFonts w:hint="eastAsia" w:asciiTheme="minorEastAsia" w:hAnsiTheme="minorEastAsia" w:cstheme="minorEastAsia"/>
                <w:sz w:val="24"/>
                <w:szCs w:val="24"/>
              </w:rPr>
              <w:t>注重青年教师发展；</w:t>
            </w:r>
          </w:p>
          <w:p>
            <w:pPr>
              <w:snapToGrid w:val="0"/>
              <w:rPr>
                <w:rFonts w:asciiTheme="minorEastAsia" w:hAnsiTheme="minorEastAsia" w:cstheme="minorEastAsia"/>
                <w:sz w:val="24"/>
                <w:szCs w:val="24"/>
                <w:lang w:val="zh-CN"/>
              </w:rPr>
            </w:pPr>
            <w:r>
              <w:rPr>
                <w:rFonts w:hint="eastAsia" w:asciiTheme="minorEastAsia" w:hAnsiTheme="minorEastAsia" w:cstheme="minorEastAsia"/>
                <w:sz w:val="24"/>
                <w:szCs w:val="24"/>
                <w:lang w:val="en-US" w:eastAsia="zh-CN"/>
              </w:rPr>
              <w:t>6.</w:t>
            </w:r>
            <w:r>
              <w:rPr>
                <w:rFonts w:hint="eastAsia" w:asciiTheme="minorEastAsia" w:hAnsiTheme="minorEastAsia" w:cstheme="minorEastAsia"/>
                <w:sz w:val="24"/>
                <w:szCs w:val="24"/>
              </w:rPr>
              <w:t>注重科研平台申报和建设。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numPr>
                <w:ilvl w:val="0"/>
                <w:numId w:val="0"/>
              </w:numPr>
              <w:snapToGrid w:val="0"/>
              <w:spacing w:line="260" w:lineRule="exact"/>
              <w:jc w:val="left"/>
              <w:rPr>
                <w:rFonts w:asciiTheme="minorEastAsia" w:hAnsiTheme="minorEastAsia" w:cstheme="minorEastAsia"/>
                <w:sz w:val="24"/>
                <w:szCs w:val="24"/>
              </w:rPr>
            </w:pPr>
            <w:r>
              <w:rPr>
                <w:rFonts w:hint="eastAsia" w:asciiTheme="minorEastAsia" w:hAnsiTheme="minorEastAsia" w:cstheme="minorEastAsia"/>
                <w:kern w:val="2"/>
                <w:sz w:val="24"/>
                <w:szCs w:val="24"/>
                <w:lang w:val="en-US" w:eastAsia="zh-CN" w:bidi="ar-SA"/>
              </w:rPr>
              <w:t>1.</w:t>
            </w:r>
            <w:r>
              <w:rPr>
                <w:rFonts w:hint="eastAsia" w:asciiTheme="minorEastAsia" w:hAnsiTheme="minorEastAsia" w:cstheme="minorEastAsia"/>
                <w:sz w:val="24"/>
                <w:szCs w:val="24"/>
              </w:rPr>
              <w:t>党支部认真组织全院教职工认真开展学习贯彻习近平新时代中国特色社会主义思想主题教育活动；</w:t>
            </w:r>
          </w:p>
          <w:p>
            <w:pPr>
              <w:numPr>
                <w:ilvl w:val="0"/>
                <w:numId w:val="0"/>
              </w:numPr>
              <w:snapToGrid w:val="0"/>
              <w:spacing w:line="260" w:lineRule="exact"/>
              <w:jc w:val="left"/>
              <w:rPr>
                <w:rFonts w:asciiTheme="minorEastAsia" w:hAnsiTheme="minorEastAsia" w:cstheme="minorEastAsia"/>
                <w:sz w:val="24"/>
                <w:szCs w:val="24"/>
              </w:rPr>
            </w:pPr>
            <w:r>
              <w:rPr>
                <w:rFonts w:hint="eastAsia" w:asciiTheme="minorEastAsia" w:hAnsiTheme="minorEastAsia" w:cstheme="minorEastAsia"/>
                <w:kern w:val="2"/>
                <w:sz w:val="24"/>
                <w:szCs w:val="24"/>
                <w:lang w:val="en-US" w:eastAsia="zh-CN" w:bidi="ar-SA"/>
              </w:rPr>
              <w:t>2.</w:t>
            </w:r>
            <w:r>
              <w:rPr>
                <w:rFonts w:hint="eastAsia" w:asciiTheme="minorEastAsia" w:hAnsiTheme="minorEastAsia" w:cstheme="minorEastAsia"/>
                <w:sz w:val="24"/>
                <w:szCs w:val="24"/>
              </w:rPr>
              <w:t>2023届5名博士研究生、硕士研究生42人顺利毕业，毕业，其中10人次获得校优秀毕业研究生以上称号，研究生培养质量高；</w:t>
            </w:r>
          </w:p>
          <w:p>
            <w:pPr>
              <w:numPr>
                <w:ilvl w:val="0"/>
                <w:numId w:val="0"/>
              </w:numPr>
              <w:snapToGrid w:val="0"/>
              <w:spacing w:line="260" w:lineRule="exact"/>
              <w:jc w:val="left"/>
              <w:rPr>
                <w:rFonts w:asciiTheme="minorEastAsia" w:hAnsiTheme="minorEastAsia" w:cstheme="minorEastAsia"/>
                <w:sz w:val="24"/>
                <w:szCs w:val="24"/>
                <w:lang w:val="zh-CN"/>
              </w:rPr>
            </w:pPr>
            <w:r>
              <w:rPr>
                <w:rFonts w:hint="eastAsia" w:asciiTheme="minorEastAsia" w:hAnsiTheme="minorEastAsia" w:cstheme="minorEastAsia"/>
                <w:kern w:val="2"/>
                <w:sz w:val="24"/>
                <w:szCs w:val="24"/>
                <w:lang w:val="en-US" w:eastAsia="zh-CN" w:bidi="ar-SA"/>
              </w:rPr>
              <w:t>3.</w:t>
            </w:r>
            <w:r>
              <w:rPr>
                <w:rFonts w:hint="eastAsia" w:asciiTheme="minorEastAsia" w:hAnsiTheme="minorEastAsia" w:cstheme="minorEastAsia"/>
                <w:sz w:val="24"/>
                <w:szCs w:val="24"/>
              </w:rPr>
              <w:t>新增纵向项目9项，新增横向项目15项，总到账科研经费1612.18万元（截至2023年12月08日统计数据），人均到账经费超过100万元（按15位专职科研人员计算），到账经费高。</w:t>
            </w:r>
          </w:p>
          <w:p>
            <w:pPr>
              <w:numPr>
                <w:ilvl w:val="0"/>
                <w:numId w:val="0"/>
              </w:numPr>
              <w:snapToGrid w:val="0"/>
              <w:spacing w:line="260" w:lineRule="exact"/>
              <w:jc w:val="left"/>
              <w:rPr>
                <w:rFonts w:asciiTheme="minorEastAsia" w:hAnsiTheme="minorEastAsia" w:cstheme="minorEastAsia"/>
                <w:sz w:val="24"/>
                <w:szCs w:val="24"/>
              </w:rPr>
            </w:pPr>
            <w:r>
              <w:rPr>
                <w:rFonts w:hint="eastAsia" w:asciiTheme="minorEastAsia" w:hAnsiTheme="minorEastAsia" w:cstheme="minorEastAsia"/>
                <w:kern w:val="2"/>
                <w:sz w:val="24"/>
                <w:szCs w:val="24"/>
                <w:lang w:val="en-US" w:eastAsia="zh-CN" w:bidi="ar-SA"/>
              </w:rPr>
              <w:t>4.</w:t>
            </w:r>
            <w:r>
              <w:rPr>
                <w:rFonts w:hint="eastAsia" w:asciiTheme="minorEastAsia" w:hAnsiTheme="minorEastAsia" w:cstheme="minorEastAsia"/>
                <w:sz w:val="24"/>
                <w:szCs w:val="24"/>
              </w:rPr>
              <w:t>发表学术论文46篇，其中高水平论文41篇，申请发明专利60余项，授权发明专利49余项。翟华论文在国际著名学术期刊《Materials Today》上发表，胡颖论文在国际著名期刊《Advanced Functional Materials》上发表。</w:t>
            </w:r>
          </w:p>
          <w:p>
            <w:pPr>
              <w:numPr>
                <w:ilvl w:val="0"/>
                <w:numId w:val="0"/>
              </w:numPr>
              <w:snapToGrid w:val="0"/>
              <w:spacing w:line="260" w:lineRule="exact"/>
              <w:jc w:val="left"/>
              <w:rPr>
                <w:rFonts w:asciiTheme="minorEastAsia" w:hAnsiTheme="minorEastAsia" w:cstheme="minorEastAsia"/>
                <w:sz w:val="24"/>
                <w:szCs w:val="24"/>
                <w:lang w:val="zh-CN"/>
              </w:rPr>
            </w:pPr>
            <w:r>
              <w:rPr>
                <w:rFonts w:hint="eastAsia" w:asciiTheme="minorEastAsia" w:hAnsiTheme="minorEastAsia" w:cstheme="minorEastAsia"/>
                <w:sz w:val="24"/>
                <w:szCs w:val="24"/>
                <w:lang w:val="en-US" w:eastAsia="zh-CN"/>
              </w:rPr>
              <w:t>5.</w:t>
            </w:r>
            <w:r>
              <w:rPr>
                <w:rFonts w:hint="eastAsia" w:asciiTheme="minorEastAsia" w:hAnsiTheme="minorEastAsia" w:cstheme="minorEastAsia"/>
                <w:sz w:val="24"/>
                <w:szCs w:val="24"/>
              </w:rPr>
              <w:t>翟华参与的《大型复杂真空室成形关键技术及应用》获2022年度安徽省科技进步一等奖（排名第3），胡颖参与的《离子型电活性IPMC人工肌肉设计、建模及应用》获2022年度江苏省机械工程学会科学技术奖（排名第3）。翟华、丁曙光教授团队参与2023年第八届中国创新挑战赛（青海），获得荣誉证书并与企业成功签约；</w:t>
            </w:r>
          </w:p>
          <w:p>
            <w:pPr>
              <w:numPr>
                <w:ilvl w:val="0"/>
                <w:numId w:val="0"/>
              </w:numPr>
              <w:snapToGrid w:val="0"/>
              <w:spacing w:line="260" w:lineRule="exact"/>
              <w:jc w:val="left"/>
              <w:rPr>
                <w:rFonts w:asciiTheme="minorEastAsia" w:hAnsiTheme="minorEastAsia" w:cstheme="minorEastAsia"/>
                <w:sz w:val="24"/>
                <w:szCs w:val="24"/>
                <w:lang w:val="zh-CN"/>
              </w:rPr>
            </w:pPr>
            <w:r>
              <w:rPr>
                <w:rFonts w:hint="eastAsia" w:asciiTheme="minorEastAsia" w:hAnsiTheme="minorEastAsia" w:cstheme="minorEastAsia"/>
                <w:kern w:val="2"/>
                <w:sz w:val="24"/>
                <w:szCs w:val="24"/>
                <w:lang w:val="en-US" w:eastAsia="zh-CN" w:bidi="ar-SA"/>
              </w:rPr>
              <w:t>6.</w:t>
            </w:r>
            <w:r>
              <w:rPr>
                <w:rFonts w:hint="eastAsia" w:asciiTheme="minorEastAsia" w:hAnsiTheme="minorEastAsia" w:cstheme="minorEastAsia"/>
                <w:sz w:val="24"/>
                <w:szCs w:val="24"/>
              </w:rPr>
              <w:t>重点实验室邀请爱沙尼亚塔尔图大学Alvo Aabloo教授来我校进行学术交流，参与举办“中国机械工程学会塑性工程分会成立六十周年纪念大会”等多项学术会议，顺利通过省科技厅重组建设评审；</w:t>
            </w:r>
          </w:p>
          <w:p>
            <w:pPr>
              <w:numPr>
                <w:ilvl w:val="0"/>
                <w:numId w:val="0"/>
              </w:numPr>
              <w:snapToGrid w:val="0"/>
              <w:spacing w:line="260" w:lineRule="exact"/>
              <w:jc w:val="left"/>
              <w:rPr>
                <w:rFonts w:asciiTheme="minorEastAsia" w:hAnsiTheme="minorEastAsia" w:cstheme="minorEastAsia"/>
                <w:sz w:val="24"/>
                <w:szCs w:val="24"/>
              </w:rPr>
            </w:pPr>
            <w:r>
              <w:rPr>
                <w:rFonts w:hint="eastAsia" w:asciiTheme="minorEastAsia" w:hAnsiTheme="minorEastAsia" w:cstheme="minorEastAsia"/>
                <w:kern w:val="2"/>
                <w:sz w:val="24"/>
                <w:szCs w:val="24"/>
                <w:lang w:val="en-US" w:eastAsia="zh-CN" w:bidi="ar-SA"/>
              </w:rPr>
              <w:t>7.</w:t>
            </w:r>
            <w:r>
              <w:rPr>
                <w:rFonts w:hint="eastAsia" w:asciiTheme="minorEastAsia" w:hAnsiTheme="minorEastAsia" w:cstheme="minorEastAsia"/>
                <w:sz w:val="24"/>
                <w:szCs w:val="24"/>
              </w:rPr>
              <w:t>与皖江江南新兴产业集中区共建轻合金新材料产业研究院已运行一年，充分发挥工科办学特色和产学研合作优势，聚焦新兴产业发展需求和难题，推进产学研活动。</w:t>
            </w:r>
          </w:p>
          <w:p>
            <w:pPr>
              <w:snapToGrid w:val="0"/>
              <w:jc w:val="left"/>
              <w:rPr>
                <w:rFonts w:asciiTheme="minorEastAsia" w:hAnsiTheme="minorEastAsia" w:cstheme="minorEastAsia"/>
                <w:sz w:val="24"/>
                <w:szCs w:val="24"/>
                <w:lang w:val="zh-CN"/>
              </w:rPr>
            </w:pPr>
          </w:p>
          <w:p>
            <w:pPr>
              <w:widowControl/>
              <w:jc w:val="left"/>
              <w:rPr>
                <w:rFonts w:asciiTheme="minorEastAsia" w:hAnsiTheme="minorEastAsia" w:cstheme="minorEastAsia"/>
                <w:sz w:val="24"/>
                <w:szCs w:val="24"/>
                <w:lang w:val="zh-CN"/>
              </w:rPr>
            </w:pPr>
          </w:p>
        </w:tc>
      </w:tr>
    </w:tbl>
    <w:p/>
    <w:sectPr>
      <w:footerReference r:id="rId7" w:type="default"/>
      <w:pgSz w:w="11906" w:h="16838"/>
      <w:pgMar w:top="1440" w:right="1800" w:bottom="1440" w:left="1800" w:header="851" w:footer="992" w:gutter="0"/>
      <w:pgNumType w:start="1"/>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170140"/>
    </w:sdtPr>
    <w:sdtContent>
      <w:p>
        <w:pPr>
          <w:pStyle w:val="9"/>
          <w:jc w:val="center"/>
        </w:pPr>
        <w:r>
          <w:fldChar w:fldCharType="begin"/>
        </w:r>
        <w:r>
          <w:instrText xml:space="preserve">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170140"/>
    </w:sdtPr>
    <w:sdtContent>
      <w:p>
        <w:pPr>
          <w:pStyle w:val="9"/>
          <w:jc w:val="center"/>
        </w:pPr>
        <w:r>
          <w:fldChar w:fldCharType="begin"/>
        </w:r>
        <w:r>
          <w:instrText xml:space="preserve">PAGE   \* MERGEFORMAT</w:instrText>
        </w:r>
        <w:r>
          <w:fldChar w:fldCharType="separate"/>
        </w:r>
        <w:r>
          <w:rPr>
            <w:lang w:val="zh-CN"/>
          </w:rPr>
          <w:t>2</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0B35D"/>
    <w:multiLevelType w:val="singleLevel"/>
    <w:tmpl w:val="8100B35D"/>
    <w:lvl w:ilvl="0" w:tentative="0">
      <w:start w:val="2"/>
      <w:numFmt w:val="chineseCounting"/>
      <w:suff w:val="nothing"/>
      <w:lvlText w:val="%1、"/>
      <w:lvlJc w:val="left"/>
      <w:rPr>
        <w:rFonts w:hint="eastAsia"/>
      </w:rPr>
    </w:lvl>
  </w:abstractNum>
  <w:abstractNum w:abstractNumId="1">
    <w:nsid w:val="A065644A"/>
    <w:multiLevelType w:val="singleLevel"/>
    <w:tmpl w:val="A065644A"/>
    <w:lvl w:ilvl="0" w:tentative="0">
      <w:start w:val="1"/>
      <w:numFmt w:val="decimal"/>
      <w:suff w:val="nothing"/>
      <w:lvlText w:val="（%1）"/>
      <w:lvlJc w:val="left"/>
    </w:lvl>
  </w:abstractNum>
  <w:abstractNum w:abstractNumId="2">
    <w:nsid w:val="D13A41FC"/>
    <w:multiLevelType w:val="singleLevel"/>
    <w:tmpl w:val="D13A41FC"/>
    <w:lvl w:ilvl="0" w:tentative="0">
      <w:start w:val="6"/>
      <w:numFmt w:val="chineseCounting"/>
      <w:suff w:val="nothing"/>
      <w:lvlText w:val="%1、"/>
      <w:lvlJc w:val="left"/>
      <w:rPr>
        <w:rFonts w:hint="eastAsia"/>
      </w:rPr>
    </w:lvl>
  </w:abstractNum>
  <w:abstractNum w:abstractNumId="3">
    <w:nsid w:val="3701563E"/>
    <w:multiLevelType w:val="multilevel"/>
    <w:tmpl w:val="3701563E"/>
    <w:lvl w:ilvl="0" w:tentative="0">
      <w:start w:val="1"/>
      <w:numFmt w:val="decimal"/>
      <w:lvlText w:val="%1."/>
      <w:lvlJc w:val="left"/>
      <w:pPr>
        <w:ind w:left="90" w:hanging="420"/>
      </w:pPr>
    </w:lvl>
    <w:lvl w:ilvl="1" w:tentative="0">
      <w:start w:val="1"/>
      <w:numFmt w:val="lowerLetter"/>
      <w:lvlText w:val="%2)"/>
      <w:lvlJc w:val="left"/>
      <w:pPr>
        <w:ind w:left="510" w:hanging="420"/>
      </w:pPr>
    </w:lvl>
    <w:lvl w:ilvl="2" w:tentative="0">
      <w:start w:val="1"/>
      <w:numFmt w:val="lowerRoman"/>
      <w:lvlText w:val="%3."/>
      <w:lvlJc w:val="right"/>
      <w:pPr>
        <w:ind w:left="930" w:hanging="420"/>
      </w:pPr>
    </w:lvl>
    <w:lvl w:ilvl="3" w:tentative="0">
      <w:start w:val="1"/>
      <w:numFmt w:val="decimal"/>
      <w:lvlText w:val="%4."/>
      <w:lvlJc w:val="left"/>
      <w:pPr>
        <w:ind w:left="1350" w:hanging="420"/>
      </w:pPr>
    </w:lvl>
    <w:lvl w:ilvl="4" w:tentative="0">
      <w:start w:val="1"/>
      <w:numFmt w:val="lowerLetter"/>
      <w:lvlText w:val="%5)"/>
      <w:lvlJc w:val="left"/>
      <w:pPr>
        <w:ind w:left="1770" w:hanging="420"/>
      </w:pPr>
    </w:lvl>
    <w:lvl w:ilvl="5" w:tentative="0">
      <w:start w:val="1"/>
      <w:numFmt w:val="lowerRoman"/>
      <w:lvlText w:val="%6."/>
      <w:lvlJc w:val="right"/>
      <w:pPr>
        <w:ind w:left="2190" w:hanging="420"/>
      </w:pPr>
    </w:lvl>
    <w:lvl w:ilvl="6" w:tentative="0">
      <w:start w:val="1"/>
      <w:numFmt w:val="decimal"/>
      <w:lvlText w:val="%7."/>
      <w:lvlJc w:val="left"/>
      <w:pPr>
        <w:ind w:left="2610" w:hanging="420"/>
      </w:pPr>
    </w:lvl>
    <w:lvl w:ilvl="7" w:tentative="0">
      <w:start w:val="1"/>
      <w:numFmt w:val="lowerLetter"/>
      <w:lvlText w:val="%8)"/>
      <w:lvlJc w:val="left"/>
      <w:pPr>
        <w:ind w:left="3030" w:hanging="420"/>
      </w:pPr>
    </w:lvl>
    <w:lvl w:ilvl="8" w:tentative="0">
      <w:start w:val="1"/>
      <w:numFmt w:val="lowerRoman"/>
      <w:lvlText w:val="%9."/>
      <w:lvlJc w:val="right"/>
      <w:pPr>
        <w:ind w:left="3450" w:hanging="420"/>
      </w:pPr>
    </w:lvl>
  </w:abstractNum>
  <w:abstractNum w:abstractNumId="4">
    <w:nsid w:val="3BCB3A13"/>
    <w:multiLevelType w:val="singleLevel"/>
    <w:tmpl w:val="3BCB3A13"/>
    <w:lvl w:ilvl="0" w:tentative="0">
      <w:start w:val="7"/>
      <w:numFmt w:val="chineseCounting"/>
      <w:suff w:val="nothing"/>
      <w:lvlText w:val="%1、"/>
      <w:lvlJc w:val="left"/>
      <w:rPr>
        <w:rFonts w:hint="eastAsia"/>
      </w:rPr>
    </w:lvl>
  </w:abstractNum>
  <w:abstractNum w:abstractNumId="5">
    <w:nsid w:val="63AC143B"/>
    <w:multiLevelType w:val="singleLevel"/>
    <w:tmpl w:val="63AC143B"/>
    <w:lvl w:ilvl="0" w:tentative="0">
      <w:start w:val="1"/>
      <w:numFmt w:val="decimal"/>
      <w:suff w:val="nothing"/>
      <w:lvlText w:val="%1."/>
      <w:lvlJc w:val="left"/>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jMDcxMzkwZGZiOWI2YWI1ZjAyZGZhNTUxMjgyZmIifQ=="/>
  </w:docVars>
  <w:rsids>
    <w:rsidRoot w:val="00172A27"/>
    <w:rsid w:val="00005D65"/>
    <w:rsid w:val="00016D4F"/>
    <w:rsid w:val="00091BB8"/>
    <w:rsid w:val="000C4175"/>
    <w:rsid w:val="00102D91"/>
    <w:rsid w:val="00146716"/>
    <w:rsid w:val="001532EA"/>
    <w:rsid w:val="001616DF"/>
    <w:rsid w:val="00167483"/>
    <w:rsid w:val="00172A27"/>
    <w:rsid w:val="001F4A80"/>
    <w:rsid w:val="003978E1"/>
    <w:rsid w:val="003A0879"/>
    <w:rsid w:val="003E732B"/>
    <w:rsid w:val="004169A0"/>
    <w:rsid w:val="004A3D05"/>
    <w:rsid w:val="004A484F"/>
    <w:rsid w:val="004B1601"/>
    <w:rsid w:val="00537C31"/>
    <w:rsid w:val="0054288F"/>
    <w:rsid w:val="005D44FB"/>
    <w:rsid w:val="005F727E"/>
    <w:rsid w:val="00644045"/>
    <w:rsid w:val="00645658"/>
    <w:rsid w:val="006843D7"/>
    <w:rsid w:val="006A56C7"/>
    <w:rsid w:val="0079084F"/>
    <w:rsid w:val="00790D22"/>
    <w:rsid w:val="008174AF"/>
    <w:rsid w:val="0082045E"/>
    <w:rsid w:val="0084393E"/>
    <w:rsid w:val="00855C70"/>
    <w:rsid w:val="0088208B"/>
    <w:rsid w:val="008941DA"/>
    <w:rsid w:val="00895757"/>
    <w:rsid w:val="008F42DE"/>
    <w:rsid w:val="008F6B2B"/>
    <w:rsid w:val="00916B0E"/>
    <w:rsid w:val="009840A2"/>
    <w:rsid w:val="0099238A"/>
    <w:rsid w:val="00A32209"/>
    <w:rsid w:val="00A82AC3"/>
    <w:rsid w:val="00AB20BA"/>
    <w:rsid w:val="00AC4F96"/>
    <w:rsid w:val="00AE5182"/>
    <w:rsid w:val="00AE7CE8"/>
    <w:rsid w:val="00AF6313"/>
    <w:rsid w:val="00B97C5C"/>
    <w:rsid w:val="00C23646"/>
    <w:rsid w:val="00C33E6B"/>
    <w:rsid w:val="00C67C2A"/>
    <w:rsid w:val="00D247BE"/>
    <w:rsid w:val="00D30700"/>
    <w:rsid w:val="00D34F6B"/>
    <w:rsid w:val="00D607A1"/>
    <w:rsid w:val="00D81F94"/>
    <w:rsid w:val="00D86DED"/>
    <w:rsid w:val="00D93116"/>
    <w:rsid w:val="00DA22B8"/>
    <w:rsid w:val="00DC488C"/>
    <w:rsid w:val="00E17AAF"/>
    <w:rsid w:val="00E27EE8"/>
    <w:rsid w:val="00E55C4E"/>
    <w:rsid w:val="00E56558"/>
    <w:rsid w:val="00E613CA"/>
    <w:rsid w:val="00E848F9"/>
    <w:rsid w:val="00E9637C"/>
    <w:rsid w:val="00EA16A5"/>
    <w:rsid w:val="00ED11F2"/>
    <w:rsid w:val="00EF34E8"/>
    <w:rsid w:val="00F0337D"/>
    <w:rsid w:val="00F345B5"/>
    <w:rsid w:val="00FB76C0"/>
    <w:rsid w:val="0488636D"/>
    <w:rsid w:val="05FA2369"/>
    <w:rsid w:val="06977264"/>
    <w:rsid w:val="0A9F38EE"/>
    <w:rsid w:val="0E497597"/>
    <w:rsid w:val="0F0C6664"/>
    <w:rsid w:val="0FFD54BA"/>
    <w:rsid w:val="1058664D"/>
    <w:rsid w:val="1086419B"/>
    <w:rsid w:val="146E0E03"/>
    <w:rsid w:val="14E11FCE"/>
    <w:rsid w:val="161576A2"/>
    <w:rsid w:val="16D36F75"/>
    <w:rsid w:val="17CA4FA8"/>
    <w:rsid w:val="181B5077"/>
    <w:rsid w:val="18355367"/>
    <w:rsid w:val="1876583D"/>
    <w:rsid w:val="18FF2AE9"/>
    <w:rsid w:val="19CE1BFF"/>
    <w:rsid w:val="1D8B67FB"/>
    <w:rsid w:val="1E556E6D"/>
    <w:rsid w:val="1F061724"/>
    <w:rsid w:val="210D55F2"/>
    <w:rsid w:val="25087270"/>
    <w:rsid w:val="267C1267"/>
    <w:rsid w:val="26A821CC"/>
    <w:rsid w:val="2727150F"/>
    <w:rsid w:val="2CBF7F45"/>
    <w:rsid w:val="2EE542C4"/>
    <w:rsid w:val="2F70425D"/>
    <w:rsid w:val="30F12B50"/>
    <w:rsid w:val="31AB14D8"/>
    <w:rsid w:val="31EF5B34"/>
    <w:rsid w:val="35054370"/>
    <w:rsid w:val="3550780F"/>
    <w:rsid w:val="358A5AF9"/>
    <w:rsid w:val="38045AFB"/>
    <w:rsid w:val="381E5E4A"/>
    <w:rsid w:val="38284205"/>
    <w:rsid w:val="3923421C"/>
    <w:rsid w:val="3AB968E9"/>
    <w:rsid w:val="3AE3337B"/>
    <w:rsid w:val="3CBA764F"/>
    <w:rsid w:val="3EED5B01"/>
    <w:rsid w:val="41452699"/>
    <w:rsid w:val="43BE2B29"/>
    <w:rsid w:val="43D877F5"/>
    <w:rsid w:val="440D60D4"/>
    <w:rsid w:val="47FB671A"/>
    <w:rsid w:val="4AD111D1"/>
    <w:rsid w:val="4CE41A11"/>
    <w:rsid w:val="4D63697D"/>
    <w:rsid w:val="4E0538DC"/>
    <w:rsid w:val="4E920EE8"/>
    <w:rsid w:val="5020090D"/>
    <w:rsid w:val="52293381"/>
    <w:rsid w:val="526A35AB"/>
    <w:rsid w:val="5539168F"/>
    <w:rsid w:val="55CB7DFC"/>
    <w:rsid w:val="575256B8"/>
    <w:rsid w:val="589E057C"/>
    <w:rsid w:val="5AA91A93"/>
    <w:rsid w:val="5D3C6BEF"/>
    <w:rsid w:val="5F365892"/>
    <w:rsid w:val="67B37A94"/>
    <w:rsid w:val="6C472189"/>
    <w:rsid w:val="6C964F99"/>
    <w:rsid w:val="6E5C7E3A"/>
    <w:rsid w:val="71AD37BF"/>
    <w:rsid w:val="72E94D30"/>
    <w:rsid w:val="75EB51C1"/>
    <w:rsid w:val="7B992D3B"/>
    <w:rsid w:val="7E613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4">
    <w:name w:val="heading 1"/>
    <w:basedOn w:val="1"/>
    <w:next w:val="1"/>
    <w:autoRedefine/>
    <w:qFormat/>
    <w:uiPriority w:val="9"/>
    <w:pPr>
      <w:keepNext/>
      <w:keepLines/>
      <w:spacing w:before="340" w:after="330" w:line="578" w:lineRule="auto"/>
      <w:jc w:val="center"/>
      <w:outlineLvl w:val="0"/>
    </w:pPr>
    <w:rPr>
      <w:rFonts w:eastAsiaTheme="majorEastAsia"/>
      <w:b/>
      <w:bCs/>
      <w:kern w:val="44"/>
      <w:sz w:val="30"/>
      <w:szCs w:val="44"/>
    </w:rPr>
  </w:style>
  <w:style w:type="paragraph" w:styleId="5">
    <w:name w:val="heading 3"/>
    <w:basedOn w:val="1"/>
    <w:next w:val="1"/>
    <w:autoRedefine/>
    <w:semiHidden/>
    <w:unhideWhenUsed/>
    <w:qFormat/>
    <w:uiPriority w:val="0"/>
    <w:pPr>
      <w:spacing w:before="100" w:beforeAutospacing="1" w:after="100" w:afterAutospacing="1"/>
      <w:jc w:val="left"/>
      <w:outlineLvl w:val="2"/>
    </w:pPr>
    <w:rPr>
      <w:rFonts w:hint="eastAsia" w:ascii="宋体" w:hAnsi="宋体" w:eastAsia="宋体" w:cs="Times New Roman"/>
      <w:b/>
      <w:bCs/>
      <w:kern w:val="0"/>
      <w:sz w:val="27"/>
      <w:szCs w:val="27"/>
    </w:rPr>
  </w:style>
  <w:style w:type="paragraph" w:styleId="6">
    <w:name w:val="heading 5"/>
    <w:basedOn w:val="1"/>
    <w:autoRedefine/>
    <w:semiHidden/>
    <w:unhideWhenUsed/>
    <w:qFormat/>
    <w:uiPriority w:val="0"/>
    <w:pPr>
      <w:spacing w:before="100" w:beforeAutospacing="1" w:after="100" w:afterAutospacing="1"/>
      <w:jc w:val="left"/>
      <w:outlineLvl w:val="4"/>
    </w:pPr>
    <w:rPr>
      <w:rFonts w:hint="eastAsia" w:ascii="宋体" w:hAnsi="宋体" w:eastAsia="宋体" w:cs="Times New Roman"/>
      <w:b/>
      <w:bCs/>
      <w:kern w:val="0"/>
      <w:sz w:val="20"/>
      <w:szCs w:val="20"/>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link w:val="26"/>
    <w:autoRedefine/>
    <w:qFormat/>
    <w:uiPriority w:val="0"/>
    <w:pPr>
      <w:jc w:val="center"/>
    </w:pPr>
  </w:style>
  <w:style w:type="paragraph" w:styleId="3">
    <w:name w:val="Body Text Indent"/>
    <w:basedOn w:val="1"/>
    <w:link w:val="25"/>
    <w:autoRedefine/>
    <w:qFormat/>
    <w:uiPriority w:val="0"/>
    <w:pPr>
      <w:ind w:firstLine="560" w:firstLineChars="200"/>
    </w:pPr>
    <w:rPr>
      <w:rFonts w:ascii="Times New Roman" w:hAnsi="Times New Roman" w:eastAsia="宋体" w:cs="Times New Roman"/>
      <w:szCs w:val="24"/>
    </w:rPr>
  </w:style>
  <w:style w:type="paragraph" w:styleId="7">
    <w:name w:val="Body Text"/>
    <w:basedOn w:val="1"/>
    <w:autoRedefine/>
    <w:qFormat/>
    <w:uiPriority w:val="0"/>
    <w:pPr>
      <w:ind w:left="360" w:firstLine="559"/>
    </w:pPr>
    <w:rPr>
      <w:rFonts w:ascii="宋体" w:hAnsi="宋体" w:eastAsia="宋体" w:cs="宋体"/>
      <w:szCs w:val="28"/>
    </w:rPr>
  </w:style>
  <w:style w:type="paragraph" w:styleId="8">
    <w:name w:val="Balloon Text"/>
    <w:basedOn w:val="1"/>
    <w:link w:val="32"/>
    <w:autoRedefine/>
    <w:qFormat/>
    <w:uiPriority w:val="0"/>
    <w:rPr>
      <w:sz w:val="18"/>
      <w:szCs w:val="18"/>
    </w:rPr>
  </w:style>
  <w:style w:type="paragraph" w:styleId="9">
    <w:name w:val="footer"/>
    <w:basedOn w:val="1"/>
    <w:link w:val="19"/>
    <w:autoRedefine/>
    <w:unhideWhenUsed/>
    <w:qFormat/>
    <w:uiPriority w:val="99"/>
    <w:pPr>
      <w:tabs>
        <w:tab w:val="center" w:pos="4153"/>
        <w:tab w:val="right" w:pos="8306"/>
      </w:tabs>
      <w:snapToGrid w:val="0"/>
      <w:jc w:val="left"/>
    </w:pPr>
    <w:rPr>
      <w:sz w:val="18"/>
      <w:szCs w:val="18"/>
    </w:rPr>
  </w:style>
  <w:style w:type="paragraph" w:styleId="10">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39"/>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rFonts w:ascii="Times New Roman" w:hAnsi="Times New Roman" w:eastAsia="宋体" w:cs="Times New Roman"/>
      <w:b/>
      <w:bCs/>
    </w:rPr>
  </w:style>
  <w:style w:type="character" w:styleId="16">
    <w:name w:val="Emphasis"/>
    <w:basedOn w:val="14"/>
    <w:autoRedefine/>
    <w:qFormat/>
    <w:uiPriority w:val="0"/>
    <w:rPr>
      <w:rFonts w:ascii="Times New Roman" w:hAnsi="Times New Roman" w:eastAsia="宋体" w:cs="Times New Roman"/>
      <w:i/>
    </w:rPr>
  </w:style>
  <w:style w:type="character" w:styleId="17">
    <w:name w:val="Hyperlink"/>
    <w:basedOn w:val="14"/>
    <w:autoRedefine/>
    <w:unhideWhenUsed/>
    <w:qFormat/>
    <w:uiPriority w:val="99"/>
    <w:rPr>
      <w:color w:val="0026E5" w:themeColor="hyperlink"/>
      <w:u w:val="single"/>
      <w14:textFill>
        <w14:solidFill>
          <w14:schemeClr w14:val="hlink"/>
        </w14:solidFill>
      </w14:textFill>
    </w:rPr>
  </w:style>
  <w:style w:type="character" w:customStyle="1" w:styleId="18">
    <w:name w:val="页眉 Char"/>
    <w:basedOn w:val="14"/>
    <w:autoRedefine/>
    <w:qFormat/>
    <w:uiPriority w:val="0"/>
    <w:rPr>
      <w:rFonts w:ascii="Calibri" w:hAnsi="Calibri" w:eastAsia="宋体" w:cs="Times New Roman"/>
      <w:sz w:val="18"/>
      <w:szCs w:val="18"/>
    </w:rPr>
  </w:style>
  <w:style w:type="character" w:customStyle="1" w:styleId="19">
    <w:name w:val="页脚 Char"/>
    <w:basedOn w:val="14"/>
    <w:link w:val="9"/>
    <w:autoRedefine/>
    <w:qFormat/>
    <w:uiPriority w:val="0"/>
    <w:rPr>
      <w:rFonts w:ascii="Calibri" w:hAnsi="Calibri" w:eastAsia="宋体" w:cs="Times New Roman"/>
      <w:sz w:val="18"/>
      <w:szCs w:val="18"/>
    </w:rPr>
  </w:style>
  <w:style w:type="paragraph" w:styleId="20">
    <w:name w:val="List Paragraph"/>
    <w:basedOn w:val="1"/>
    <w:autoRedefine/>
    <w:semiHidden/>
    <w:unhideWhenUsed/>
    <w:qFormat/>
    <w:uiPriority w:val="99"/>
    <w:pPr>
      <w:ind w:firstLine="420" w:firstLineChars="200"/>
    </w:pPr>
  </w:style>
  <w:style w:type="character" w:customStyle="1" w:styleId="21">
    <w:name w:val="页眉 Char1"/>
    <w:basedOn w:val="14"/>
    <w:link w:val="10"/>
    <w:autoRedefine/>
    <w:qFormat/>
    <w:uiPriority w:val="0"/>
    <w:rPr>
      <w:rFonts w:asciiTheme="minorHAnsi" w:hAnsiTheme="minorHAnsi" w:eastAsiaTheme="minorEastAsia" w:cstheme="minorBidi"/>
      <w:kern w:val="2"/>
      <w:sz w:val="18"/>
      <w:szCs w:val="18"/>
    </w:rPr>
  </w:style>
  <w:style w:type="character" w:customStyle="1" w:styleId="22">
    <w:name w:val="页脚 字符"/>
    <w:basedOn w:val="14"/>
    <w:autoRedefine/>
    <w:qFormat/>
    <w:uiPriority w:val="99"/>
    <w:rPr>
      <w:rFonts w:asciiTheme="minorHAnsi" w:hAnsiTheme="minorHAnsi" w:eastAsiaTheme="minorEastAsia" w:cstheme="minorBidi"/>
      <w:kern w:val="2"/>
      <w:sz w:val="18"/>
      <w:szCs w:val="18"/>
    </w:rPr>
  </w:style>
  <w:style w:type="character" w:customStyle="1" w:styleId="23">
    <w:name w:val="批注框文本 字符"/>
    <w:basedOn w:val="14"/>
    <w:autoRedefine/>
    <w:qFormat/>
    <w:uiPriority w:val="0"/>
    <w:rPr>
      <w:rFonts w:asciiTheme="minorHAnsi" w:hAnsiTheme="minorHAnsi" w:eastAsiaTheme="minorEastAsia" w:cstheme="minorBidi"/>
      <w:sz w:val="18"/>
      <w:szCs w:val="18"/>
    </w:rPr>
  </w:style>
  <w:style w:type="paragraph" w:customStyle="1" w:styleId="24">
    <w:name w:val="paragraph"/>
    <w:basedOn w:val="1"/>
    <w:autoRedefine/>
    <w:semiHidden/>
    <w:qFormat/>
    <w:uiPriority w:val="0"/>
    <w:pPr>
      <w:widowControl/>
      <w:spacing w:before="100" w:beforeAutospacing="1" w:after="100" w:afterAutospacing="1"/>
      <w:jc w:val="left"/>
    </w:pPr>
    <w:rPr>
      <w:rFonts w:ascii="等线" w:hAnsi="等线" w:eastAsia="等线" w:cs="Times New Roman"/>
      <w:kern w:val="0"/>
      <w:sz w:val="24"/>
      <w:szCs w:val="24"/>
    </w:rPr>
  </w:style>
  <w:style w:type="character" w:customStyle="1" w:styleId="25">
    <w:name w:val="正文文本缩进 Char"/>
    <w:basedOn w:val="14"/>
    <w:link w:val="3"/>
    <w:autoRedefine/>
    <w:qFormat/>
    <w:uiPriority w:val="99"/>
    <w:rPr>
      <w:rFonts w:ascii="Times New Roman" w:hAnsi="Times New Roman" w:eastAsia="宋体" w:cs="Times New Roman"/>
      <w:szCs w:val="24"/>
    </w:rPr>
  </w:style>
  <w:style w:type="character" w:customStyle="1" w:styleId="26">
    <w:name w:val="正文首行缩进 2 Char"/>
    <w:basedOn w:val="25"/>
    <w:link w:val="2"/>
    <w:autoRedefine/>
    <w:qFormat/>
    <w:uiPriority w:val="0"/>
    <w:rPr>
      <w:rFonts w:ascii="Times New Roman" w:hAnsi="Times New Roman" w:eastAsia="宋体" w:cs="Times New Roman"/>
      <w:kern w:val="2"/>
      <w:sz w:val="28"/>
      <w:szCs w:val="24"/>
    </w:rPr>
  </w:style>
  <w:style w:type="character" w:customStyle="1" w:styleId="27">
    <w:name w:val="UserStyle_41"/>
    <w:autoRedefine/>
    <w:semiHidden/>
    <w:qFormat/>
    <w:uiPriority w:val="99"/>
    <w:rPr>
      <w:rFonts w:asciiTheme="minorHAnsi" w:hAnsiTheme="minorHAnsi" w:eastAsiaTheme="minorEastAsia" w:cstheme="minorBidi"/>
    </w:rPr>
  </w:style>
  <w:style w:type="paragraph" w:customStyle="1" w:styleId="28">
    <w:name w:val="vsbcontent_start"/>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styleId="29">
    <w:name w:val="No Spacing"/>
    <w:autoRedefine/>
    <w:semiHidden/>
    <w:unhideWhenUsed/>
    <w:qFormat/>
    <w:uiPriority w:val="99"/>
    <w:pPr>
      <w:widowControl w:val="0"/>
      <w:jc w:val="both"/>
    </w:pPr>
    <w:rPr>
      <w:rFonts w:ascii="等线" w:hAnsi="等线" w:eastAsia="等线" w:cs="宋体"/>
      <w:kern w:val="2"/>
      <w:sz w:val="21"/>
      <w:szCs w:val="22"/>
      <w:lang w:val="en-US" w:eastAsia="zh-CN" w:bidi="ar-SA"/>
    </w:rPr>
  </w:style>
  <w:style w:type="paragraph" w:customStyle="1" w:styleId="30">
    <w:name w:val="T2级 节"/>
    <w:basedOn w:val="1"/>
    <w:next w:val="1"/>
    <w:autoRedefine/>
    <w:qFormat/>
    <w:uiPriority w:val="0"/>
    <w:pPr>
      <w:spacing w:before="156" w:beforeLines="50" w:after="156" w:afterLines="50"/>
      <w:outlineLvl w:val="1"/>
    </w:pPr>
    <w:rPr>
      <w:rFonts w:ascii="Times New Roman" w:hAnsi="Times New Roman" w:eastAsia="黑体"/>
      <w:b/>
      <w:sz w:val="24"/>
    </w:rPr>
  </w:style>
  <w:style w:type="paragraph" w:customStyle="1" w:styleId="31">
    <w:name w:val="T3级 节"/>
    <w:basedOn w:val="1"/>
    <w:next w:val="1"/>
    <w:autoRedefine/>
    <w:qFormat/>
    <w:uiPriority w:val="0"/>
    <w:pPr>
      <w:spacing w:before="156" w:beforeLines="50" w:after="156" w:afterLines="50"/>
      <w:outlineLvl w:val="2"/>
    </w:pPr>
    <w:rPr>
      <w:b/>
      <w:kern w:val="0"/>
      <w:sz w:val="24"/>
      <w:lang w:val="zh-CN"/>
    </w:rPr>
  </w:style>
  <w:style w:type="character" w:customStyle="1" w:styleId="32">
    <w:name w:val="批注框文本 Char"/>
    <w:basedOn w:val="14"/>
    <w:link w:val="8"/>
    <w:autoRedefine/>
    <w:qFormat/>
    <w:uiPriority w:val="0"/>
    <w:rPr>
      <w:rFonts w:asciiTheme="minorHAnsi" w:hAnsiTheme="minorHAnsi" w:eastAsiaTheme="minorEastAsia" w:cstheme="minorBidi"/>
      <w:kern w:val="2"/>
      <w:sz w:val="18"/>
      <w:szCs w:val="18"/>
    </w:rPr>
  </w:style>
  <w:style w:type="paragraph" w:customStyle="1" w:styleId="33">
    <w:name w:val="WPSOffice手动目录 1"/>
    <w:autoRedefine/>
    <w:qFormat/>
    <w:uiPriority w:val="0"/>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A4D9F-429E-43FD-AB12-1B68BFDC88AD}">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55</Pages>
  <Words>8958</Words>
  <Characters>51063</Characters>
  <Lines>425</Lines>
  <Paragraphs>119</Paragraphs>
  <TotalTime>3</TotalTime>
  <ScaleCrop>false</ScaleCrop>
  <LinksUpToDate>false</LinksUpToDate>
  <CharactersWithSpaces>59902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2020-12-07T03:34:00Z</dcterms:created>
  <dc:creator>Administrator</dc:creator>
  <cp:lastModifiedBy>冯一</cp:lastModifiedBy>
  <cp:lastPrinted>2024-01-02T01:46:00Z</cp:lastPrinted>
  <dcterms:modified xsi:type="dcterms:W3CDTF">2024-01-05T08:11:56Z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74996ABAF1E04B2EAEE5C20C16993E38_11</vt:lpwstr>
  </property>
</Properties>
</file>