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49" w:tblpY="2574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692"/>
        <w:gridCol w:w="5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69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学科领域</w:t>
            </w: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6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基础研究</w:t>
            </w: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核心计算基础数学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运筹学与控制论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理论物理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量子物理的新发现和研究理论物理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材料化学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6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基础前沿交叉</w:t>
            </w: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超常环境下系统力学问题研究与验证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功能体系的分子工程与分子成像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能源化学转化的动态本质与调控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26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先进材料</w:t>
            </w: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高性能材料结构设计、制备与应用探索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变革性纳米产业制造技术聚焦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26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能源</w:t>
            </w: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煤炭清洁高效利用技术与示范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未来先进核裂变能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基于高效热工转换的先进动力技术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17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可再生能源与多能互补应用示范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</w:t>
            </w:r>
          </w:p>
        </w:tc>
        <w:tc>
          <w:tcPr>
            <w:tcW w:w="26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生命与健康</w:t>
            </w: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脑科学与类脑智能研究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19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生物超大分子复合体的结构、功能与调控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病原微生物与宿主免疫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器官修复与再造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生物合成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健康保障技术与装备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战略生物资源评价与转化利用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25</w:t>
            </w:r>
          </w:p>
        </w:tc>
        <w:tc>
          <w:tcPr>
            <w:tcW w:w="26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信息</w:t>
            </w: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量子通信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网络空间安全关键技术与应用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高效能计算与网络通信关键技术及应用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28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大数据与人工智能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区块链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人机交互与虚拟现实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集成电路与核心基础器件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机器人与超精密极端制造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26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光电空间</w:t>
            </w: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空间科学先导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月球与首次火星科学探测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平流层飞艇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附件：</w:t>
      </w:r>
      <w:r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特别资助（站前）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可申报的研究方向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B6624"/>
    <w:rsid w:val="68EB6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2021-01-31T15:05:00Z</dcterms:created>
  <dc:creator>微笑的牧羊人</dc:creator>
  <cp:lastModifiedBy>微笑的牧羊人</cp:lastModifiedBy>
  <dcterms:modified xsi:type="dcterms:W3CDTF">2021-01-31T15:07:32Z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