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ascii="仿宋" w:hAnsi="仿宋" w:eastAsia="仿宋"/>
          <w:szCs w:val="21"/>
        </w:rPr>
      </w:pPr>
      <w:r>
        <w:rPr>
          <w:rFonts w:hint="eastAsia" w:ascii="仿宋" w:hAnsi="仿宋" w:eastAsia="仿宋"/>
          <w:szCs w:val="21"/>
        </w:rPr>
        <w:t>附件25</w:t>
      </w:r>
    </w:p>
    <w:p>
      <w:pPr>
        <w:jc w:val="center"/>
        <w:rPr>
          <w:rFonts w:ascii="仿宋" w:hAnsi="仿宋" w:eastAsia="仿宋"/>
          <w:b/>
          <w:sz w:val="28"/>
          <w:szCs w:val="28"/>
        </w:rPr>
      </w:pPr>
      <w:r>
        <w:rPr>
          <w:rFonts w:hint="eastAsia" w:ascii="仿宋" w:hAnsi="仿宋" w:eastAsia="仿宋"/>
          <w:b/>
          <w:sz w:val="28"/>
          <w:szCs w:val="28"/>
        </w:rPr>
        <w:t>高职评审费网上缴费指南</w:t>
      </w:r>
    </w:p>
    <w:p>
      <w:pPr>
        <w:spacing w:line="440" w:lineRule="exact"/>
        <w:ind w:firstLine="480" w:firstLineChars="200"/>
        <w:rPr>
          <w:rFonts w:ascii="仿宋" w:hAnsi="仿宋" w:eastAsia="仿宋"/>
          <w:sz w:val="24"/>
          <w:szCs w:val="24"/>
        </w:rPr>
      </w:pPr>
      <w:r>
        <w:rPr>
          <w:rFonts w:hint="eastAsia" w:ascii="仿宋" w:hAnsi="仿宋" w:eastAsia="仿宋"/>
          <w:sz w:val="24"/>
          <w:szCs w:val="24"/>
        </w:rPr>
        <w:t>根据学校财务处关于票据电子化的要求，高职评审费及代表性成果鉴定费应从网上缴费平台进行缴费，相关流程如下：</w:t>
      </w:r>
    </w:p>
    <w:p>
      <w:pPr>
        <w:spacing w:line="440" w:lineRule="exact"/>
        <w:ind w:firstLine="480" w:firstLineChars="200"/>
        <w:rPr>
          <w:rFonts w:ascii="仿宋" w:hAnsi="仿宋" w:eastAsia="仿宋"/>
          <w:sz w:val="24"/>
          <w:szCs w:val="24"/>
        </w:rPr>
      </w:pPr>
      <w:r>
        <w:rPr>
          <w:rFonts w:hint="eastAsia" w:ascii="仿宋" w:hAnsi="仿宋" w:eastAsia="仿宋"/>
          <w:sz w:val="24"/>
          <w:szCs w:val="24"/>
        </w:rPr>
        <w:t>1.高职申报人员根据学校通知要求，向所在单位报名并提交申报材料，单位汇总后将高职报名登记表提交学校人事处。</w:t>
      </w:r>
    </w:p>
    <w:p>
      <w:pPr>
        <w:spacing w:line="440" w:lineRule="exact"/>
        <w:ind w:firstLine="480" w:firstLineChars="200"/>
        <w:rPr>
          <w:rFonts w:ascii="仿宋" w:hAnsi="仿宋" w:eastAsia="仿宋"/>
          <w:sz w:val="24"/>
          <w:szCs w:val="24"/>
        </w:rPr>
      </w:pPr>
      <w:r>
        <w:rPr>
          <w:rFonts w:hint="eastAsia" w:ascii="仿宋" w:hAnsi="仿宋" w:eastAsia="仿宋"/>
          <w:sz w:val="24"/>
          <w:szCs w:val="24"/>
        </w:rPr>
        <w:t>2.人事处将所有高职报名人员的缴费信息录入学校“缴费平台”，再通知各单位（学院）缴费开通时间，申报人员才开始缴费。</w:t>
      </w:r>
    </w:p>
    <w:p>
      <w:pPr>
        <w:spacing w:line="440" w:lineRule="exact"/>
        <w:ind w:firstLine="480" w:firstLineChars="200"/>
        <w:rPr>
          <w:rFonts w:ascii="仿宋" w:hAnsi="仿宋" w:eastAsia="仿宋"/>
          <w:sz w:val="24"/>
          <w:szCs w:val="24"/>
        </w:rPr>
      </w:pPr>
      <w:r>
        <w:rPr>
          <w:rFonts w:hint="eastAsia" w:ascii="仿宋" w:hAnsi="仿宋" w:eastAsia="仿宋"/>
          <w:sz w:val="24"/>
          <w:szCs w:val="24"/>
        </w:rPr>
        <w:t>3.缴费方式：</w:t>
      </w:r>
    </w:p>
    <w:p>
      <w:pPr>
        <w:spacing w:line="440" w:lineRule="exact"/>
        <w:ind w:firstLine="480" w:firstLineChars="200"/>
        <w:rPr>
          <w:rFonts w:ascii="仿宋" w:hAnsi="仿宋" w:eastAsia="仿宋"/>
          <w:sz w:val="24"/>
          <w:szCs w:val="24"/>
        </w:rPr>
      </w:pPr>
      <w:r>
        <w:rPr>
          <w:rFonts w:hint="eastAsia" w:ascii="仿宋" w:hAnsi="仿宋" w:eastAsia="仿宋"/>
          <w:sz w:val="24"/>
          <w:szCs w:val="24"/>
        </w:rPr>
        <w:t>（1）电脑网页端登录</w:t>
      </w:r>
    </w:p>
    <w:p>
      <w:pPr>
        <w:spacing w:line="440" w:lineRule="exact"/>
        <w:ind w:firstLine="480" w:firstLineChars="200"/>
        <w:rPr>
          <w:rFonts w:ascii="仿宋" w:hAnsi="仿宋" w:eastAsia="仿宋"/>
          <w:sz w:val="24"/>
          <w:szCs w:val="24"/>
        </w:rPr>
      </w:pPr>
      <w:r>
        <w:rPr>
          <w:rFonts w:hint="eastAsia" w:ascii="仿宋" w:hAnsi="仿宋" w:eastAsia="仿宋"/>
          <w:sz w:val="24"/>
          <w:szCs w:val="24"/>
        </w:rPr>
        <w:t>①申报人登陆校园信息门户网站：</w:t>
      </w:r>
      <w:r>
        <w:rPr>
          <w:rFonts w:ascii="仿宋" w:hAnsi="仿宋" w:eastAsia="仿宋"/>
          <w:sz w:val="24"/>
          <w:szCs w:val="24"/>
        </w:rPr>
        <w:t>https://cas.hfut.edu.cn/cas/login</w:t>
      </w:r>
    </w:p>
    <w:p>
      <w:pPr>
        <w:rPr>
          <w:rFonts w:ascii="仿宋" w:hAnsi="仿宋" w:eastAsia="仿宋"/>
          <w:sz w:val="24"/>
          <w:szCs w:val="24"/>
        </w:rPr>
      </w:pPr>
      <w:r>
        <w:rPr>
          <w:rFonts w:hint="eastAsia" w:ascii="仿宋" w:hAnsi="仿宋" w:eastAsia="仿宋"/>
          <w:sz w:val="24"/>
          <w:szCs w:val="24"/>
        </w:rPr>
        <w:t>页面为：</w:t>
      </w:r>
    </w:p>
    <w:p>
      <w:pPr>
        <w:jc w:val="center"/>
        <w:rPr>
          <w:rFonts w:ascii="仿宋" w:hAnsi="仿宋" w:eastAsia="仿宋"/>
          <w:sz w:val="24"/>
          <w:szCs w:val="24"/>
        </w:rPr>
      </w:pPr>
      <w:r>
        <w:drawing>
          <wp:inline distT="0" distB="0" distL="0" distR="0">
            <wp:extent cx="3968750" cy="197739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 cstate="print"/>
                    <a:stretch>
                      <a:fillRect/>
                    </a:stretch>
                  </pic:blipFill>
                  <pic:spPr>
                    <a:xfrm>
                      <a:off x="0" y="0"/>
                      <a:ext cx="3983031" cy="1984802"/>
                    </a:xfrm>
                    <a:prstGeom prst="rect">
                      <a:avLst/>
                    </a:prstGeom>
                  </pic:spPr>
                </pic:pic>
              </a:graphicData>
            </a:graphic>
          </wp:inline>
        </w:drawing>
      </w:r>
    </w:p>
    <w:p>
      <w:pPr>
        <w:ind w:firstLine="480" w:firstLineChars="200"/>
        <w:rPr>
          <w:rFonts w:ascii="仿宋" w:hAnsi="仿宋" w:eastAsia="仿宋"/>
          <w:sz w:val="24"/>
          <w:szCs w:val="24"/>
        </w:rPr>
      </w:pPr>
      <w:r>
        <w:rPr>
          <w:rFonts w:hint="eastAsia" w:ascii="仿宋" w:hAnsi="仿宋" w:eastAsia="仿宋"/>
          <w:sz w:val="24"/>
          <w:szCs w:val="24"/>
        </w:rPr>
        <w:t>②登录信息门户成功后在业务系统栏直接点击“缴费平台”便可直接登录缴费平台，无需输入用户名和密码，页面如下：</w:t>
      </w:r>
    </w:p>
    <w:p>
      <w:pPr>
        <w:jc w:val="center"/>
        <w:rPr>
          <w:rFonts w:ascii="仿宋" w:hAnsi="仿宋" w:eastAsia="仿宋"/>
          <w:sz w:val="24"/>
          <w:szCs w:val="24"/>
        </w:rPr>
      </w:pPr>
      <w:r>
        <w:drawing>
          <wp:inline distT="0" distB="0" distL="0" distR="0">
            <wp:extent cx="2470785" cy="217995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cstate="print"/>
                    <a:stretch>
                      <a:fillRect/>
                    </a:stretch>
                  </pic:blipFill>
                  <pic:spPr>
                    <a:xfrm>
                      <a:off x="0" y="0"/>
                      <a:ext cx="2475908" cy="2184379"/>
                    </a:xfrm>
                    <a:prstGeom prst="rect">
                      <a:avLst/>
                    </a:prstGeom>
                  </pic:spPr>
                </pic:pic>
              </a:graphicData>
            </a:graphic>
          </wp:inline>
        </w:drawing>
      </w:r>
    </w:p>
    <w:p>
      <w:pPr>
        <w:spacing w:line="440" w:lineRule="exact"/>
        <w:rPr>
          <w:rFonts w:ascii="仿宋" w:hAnsi="仿宋" w:eastAsia="仿宋"/>
          <w:sz w:val="24"/>
          <w:szCs w:val="24"/>
        </w:rPr>
      </w:pPr>
      <w:r>
        <w:rPr>
          <w:rFonts w:hint="eastAsia" w:ascii="仿宋" w:hAnsi="仿宋" w:eastAsia="仿宋"/>
          <w:sz w:val="24"/>
          <w:szCs w:val="24"/>
        </w:rPr>
        <w:t>（2）移动手机端登录</w:t>
      </w:r>
    </w:p>
    <w:p>
      <w:pPr>
        <w:spacing w:line="440" w:lineRule="exact"/>
        <w:ind w:firstLine="480" w:firstLineChars="200"/>
        <w:rPr>
          <w:rFonts w:ascii="仿宋" w:hAnsi="仿宋" w:eastAsia="仿宋"/>
          <w:sz w:val="24"/>
          <w:szCs w:val="24"/>
        </w:rPr>
      </w:pPr>
      <w:r>
        <w:rPr>
          <w:rFonts w:hint="eastAsia" w:ascii="仿宋" w:hAnsi="仿宋" w:eastAsia="仿宋"/>
          <w:sz w:val="24"/>
          <w:szCs w:val="24"/>
        </w:rPr>
        <w:t>①申报人员关注“合肥工业大学财务处”公众号，依次点击功能栏“微财务”-“缴费平台”</w:t>
      </w:r>
      <w:r>
        <w:rPr>
          <w:rFonts w:hint="eastAsia" w:ascii="仿宋" w:hAnsi="仿宋" w:eastAsia="仿宋"/>
          <w:sz w:val="24"/>
          <w:szCs w:val="24"/>
          <w:lang w:val="en-US" w:eastAsia="zh-CN"/>
        </w:rPr>
        <w:t>进行缴费</w:t>
      </w:r>
      <w:r>
        <w:rPr>
          <w:rFonts w:hint="eastAsia" w:ascii="仿宋" w:hAnsi="仿宋" w:eastAsia="仿宋"/>
          <w:sz w:val="24"/>
          <w:szCs w:val="24"/>
        </w:rPr>
        <w:t>，页面如下：</w:t>
      </w:r>
    </w:p>
    <w:p>
      <w:pPr>
        <w:spacing w:line="440" w:lineRule="exact"/>
        <w:ind w:firstLine="480" w:firstLineChars="200"/>
        <w:rPr>
          <w:rFonts w:ascii="仿宋" w:hAnsi="仿宋" w:eastAsia="仿宋"/>
          <w:sz w:val="24"/>
          <w:szCs w:val="24"/>
        </w:rPr>
      </w:pPr>
      <w:r>
        <w:rPr>
          <w:rFonts w:ascii="仿宋" w:hAnsi="仿宋" w:eastAsia="仿宋"/>
          <w:sz w:val="24"/>
          <w:szCs w:val="24"/>
        </w:rPr>
        <w:drawing>
          <wp:anchor distT="0" distB="0" distL="114300" distR="114300" simplePos="0" relativeHeight="251665408" behindDoc="0" locked="0" layoutInCell="1" allowOverlap="1">
            <wp:simplePos x="0" y="0"/>
            <wp:positionH relativeFrom="column">
              <wp:posOffset>787400</wp:posOffset>
            </wp:positionH>
            <wp:positionV relativeFrom="paragraph">
              <wp:posOffset>169545</wp:posOffset>
            </wp:positionV>
            <wp:extent cx="1623695" cy="2802255"/>
            <wp:effectExtent l="0" t="0" r="14605" b="17145"/>
            <wp:wrapTopAndBottom/>
            <wp:docPr id="2" name="图片 2" descr="C:\Users\Administrator\Desktop\1.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istrator\Desktop\1.png1"/>
                    <pic:cNvPicPr>
                      <a:picLocks noChangeAspect="1" noChangeArrowheads="1"/>
                    </pic:cNvPicPr>
                  </pic:nvPicPr>
                  <pic:blipFill>
                    <a:blip r:embed="rId6"/>
                    <a:srcRect/>
                    <a:stretch>
                      <a:fillRect/>
                    </a:stretch>
                  </pic:blipFill>
                  <pic:spPr>
                    <a:xfrm>
                      <a:off x="0" y="0"/>
                      <a:ext cx="1623695" cy="2802255"/>
                    </a:xfrm>
                    <a:prstGeom prst="rect">
                      <a:avLst/>
                    </a:prstGeom>
                    <a:noFill/>
                    <a:ln>
                      <a:noFill/>
                    </a:ln>
                  </pic:spPr>
                </pic:pic>
              </a:graphicData>
            </a:graphic>
          </wp:anchor>
        </w:drawing>
      </w:r>
      <w:r>
        <w:drawing>
          <wp:anchor distT="0" distB="0" distL="114300" distR="114300" simplePos="0" relativeHeight="251670528" behindDoc="0" locked="0" layoutInCell="1" allowOverlap="1">
            <wp:simplePos x="0" y="0"/>
            <wp:positionH relativeFrom="column">
              <wp:posOffset>3241675</wp:posOffset>
            </wp:positionH>
            <wp:positionV relativeFrom="paragraph">
              <wp:posOffset>173355</wp:posOffset>
            </wp:positionV>
            <wp:extent cx="1623695" cy="2789555"/>
            <wp:effectExtent l="0" t="0" r="14605" b="10795"/>
            <wp:wrapTopAndBottom/>
            <wp:docPr id="3" name="图片 3" descr="C:\Users\Administrator\Desktop\2.pn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Administrator\Desktop\2.png2"/>
                    <pic:cNvPicPr>
                      <a:picLocks noChangeAspect="1"/>
                    </pic:cNvPicPr>
                  </pic:nvPicPr>
                  <pic:blipFill>
                    <a:blip r:embed="rId7"/>
                    <a:srcRect/>
                    <a:stretch>
                      <a:fillRect/>
                    </a:stretch>
                  </pic:blipFill>
                  <pic:spPr>
                    <a:xfrm>
                      <a:off x="0" y="0"/>
                      <a:ext cx="1623695" cy="2789555"/>
                    </a:xfrm>
                    <a:prstGeom prst="rect">
                      <a:avLst/>
                    </a:prstGeom>
                    <a:ln>
                      <a:noFill/>
                    </a:ln>
                  </pic:spPr>
                </pic:pic>
              </a:graphicData>
            </a:graphic>
          </wp:anchor>
        </w:drawing>
      </w:r>
      <w:r>
        <w:rPr>
          <w:rFonts w:hint="eastAsia" w:ascii="仿宋" w:hAnsi="仿宋" w:eastAsia="仿宋"/>
          <w:sz w:val="24"/>
          <w:szCs w:val="24"/>
        </w:rPr>
        <w:t>②申报人员填写信息</w:t>
      </w:r>
      <w:bookmarkStart w:id="0" w:name="_GoBack"/>
      <w:bookmarkEnd w:id="0"/>
      <w:r>
        <w:rPr>
          <w:rFonts w:hint="eastAsia" w:ascii="仿宋" w:hAnsi="仿宋" w:eastAsia="仿宋"/>
          <w:sz w:val="24"/>
          <w:szCs w:val="24"/>
        </w:rPr>
        <w:t>门户的工号和密码进行登录。</w:t>
      </w:r>
    </w:p>
    <w:p>
      <w:pPr>
        <w:spacing w:line="440" w:lineRule="exact"/>
        <w:ind w:firstLine="480" w:firstLineChars="200"/>
        <w:rPr>
          <w:rFonts w:ascii="仿宋" w:hAnsi="仿宋" w:eastAsia="仿宋"/>
          <w:sz w:val="24"/>
          <w:szCs w:val="24"/>
        </w:rPr>
      </w:pPr>
      <w:r>
        <w:rPr>
          <w:rFonts w:ascii="仿宋" w:hAnsi="仿宋" w:eastAsia="仿宋"/>
          <w:sz w:val="24"/>
          <w:szCs w:val="24"/>
        </w:rPr>
        <w:t>4</w:t>
      </w:r>
      <w:r>
        <w:rPr>
          <w:rFonts w:hint="eastAsia" w:ascii="仿宋" w:hAnsi="仿宋" w:eastAsia="仿宋"/>
          <w:sz w:val="24"/>
          <w:szCs w:val="24"/>
        </w:rPr>
        <w:t>.高职申报人员可在缴费平台勾选相应待缴费项进行缴费，</w:t>
      </w:r>
      <w:r>
        <w:rPr>
          <w:rFonts w:hint="eastAsia" w:ascii="仿宋" w:hAnsi="仿宋" w:eastAsia="仿宋"/>
          <w:b/>
          <w:sz w:val="24"/>
          <w:szCs w:val="24"/>
        </w:rPr>
        <w:t>高级专业技术职务资格评审费为300元/人</w:t>
      </w:r>
      <w:r>
        <w:rPr>
          <w:rFonts w:hint="eastAsia" w:ascii="仿宋" w:hAnsi="仿宋" w:eastAsia="仿宋"/>
          <w:sz w:val="24"/>
          <w:szCs w:val="24"/>
        </w:rPr>
        <w:t>。</w:t>
      </w:r>
    </w:p>
    <w:p>
      <w:pPr>
        <w:spacing w:line="440" w:lineRule="exact"/>
        <w:ind w:firstLine="480" w:firstLineChars="200"/>
        <w:rPr>
          <w:rFonts w:ascii="仿宋" w:hAnsi="仿宋" w:eastAsia="仿宋"/>
          <w:sz w:val="24"/>
          <w:szCs w:val="24"/>
        </w:rPr>
      </w:pPr>
      <w:r>
        <w:rPr>
          <w:rFonts w:ascii="仿宋" w:hAnsi="仿宋" w:eastAsia="仿宋"/>
          <w:sz w:val="24"/>
          <w:szCs w:val="24"/>
        </w:rPr>
        <w:t>5</w:t>
      </w:r>
      <w:r>
        <w:rPr>
          <w:rFonts w:hint="eastAsia" w:ascii="仿宋" w:hAnsi="仿宋" w:eastAsia="仿宋"/>
          <w:sz w:val="24"/>
          <w:szCs w:val="24"/>
        </w:rPr>
        <w:t>.高职申报人员在交费次日，从电脑网页端登录缴费平台点击“缴费历史查询”选项，点击“电子发票”，可打印电子票据作为高职申报评审费的缴费凭证。</w:t>
      </w:r>
    </w:p>
    <w:p>
      <w:pPr>
        <w:spacing w:line="440" w:lineRule="exact"/>
        <w:ind w:firstLine="480" w:firstLineChars="200"/>
        <w:rPr>
          <w:rFonts w:ascii="仿宋" w:hAnsi="仿宋" w:eastAsia="仿宋"/>
          <w:sz w:val="24"/>
          <w:szCs w:val="24"/>
        </w:rPr>
      </w:pPr>
      <w:r>
        <w:rPr>
          <w:rFonts w:ascii="仿宋" w:hAnsi="仿宋" w:eastAsia="仿宋"/>
          <w:sz w:val="24"/>
          <w:szCs w:val="24"/>
        </w:rPr>
        <w:t>6</w:t>
      </w:r>
      <w:r>
        <w:rPr>
          <w:rFonts w:hint="eastAsia" w:ascii="仿宋" w:hAnsi="仿宋" w:eastAsia="仿宋"/>
          <w:sz w:val="24"/>
          <w:szCs w:val="24"/>
        </w:rPr>
        <w:t>.正高申报人员除了交纳300元评审费外，还需要交纳</w:t>
      </w:r>
      <w:r>
        <w:rPr>
          <w:rFonts w:hint="eastAsia" w:ascii="仿宋" w:hAnsi="仿宋" w:eastAsia="仿宋"/>
          <w:b/>
          <w:sz w:val="24"/>
          <w:szCs w:val="24"/>
        </w:rPr>
        <w:t>“代表性成果鉴定费</w:t>
      </w:r>
      <w:r>
        <w:rPr>
          <w:rFonts w:hint="eastAsia" w:ascii="仿宋" w:hAnsi="仿宋" w:eastAsia="仿宋"/>
          <w:b/>
          <w:color w:val="000000" w:themeColor="text1"/>
          <w:sz w:val="24"/>
          <w:szCs w:val="24"/>
        </w:rPr>
        <w:t>”（每人1500元），</w:t>
      </w:r>
      <w:r>
        <w:rPr>
          <w:rFonts w:hint="eastAsia" w:ascii="仿宋" w:hAnsi="仿宋" w:eastAsia="仿宋"/>
          <w:color w:val="000000" w:themeColor="text1"/>
          <w:sz w:val="24"/>
          <w:szCs w:val="24"/>
        </w:rPr>
        <w:t>具体缴费时间和方式另行通知</w:t>
      </w:r>
      <w:r>
        <w:rPr>
          <w:rFonts w:hint="eastAsia" w:ascii="仿宋" w:hAnsi="仿宋" w:eastAsia="仿宋"/>
          <w:sz w:val="24"/>
          <w:szCs w:val="24"/>
        </w:rPr>
        <w:t>。</w:t>
      </w:r>
    </w:p>
    <w:p>
      <w:pPr>
        <w:spacing w:line="440" w:lineRule="exact"/>
        <w:ind w:firstLine="480" w:firstLineChars="200"/>
        <w:rPr>
          <w:rFonts w:ascii="仿宋" w:hAnsi="仿宋" w:eastAsia="仿宋"/>
          <w:sz w:val="24"/>
          <w:szCs w:val="24"/>
        </w:rPr>
      </w:pPr>
      <w:r>
        <w:rPr>
          <w:rFonts w:ascii="仿宋" w:hAnsi="仿宋" w:eastAsia="仿宋"/>
          <w:sz w:val="24"/>
          <w:szCs w:val="24"/>
        </w:rPr>
        <w:t>7</w:t>
      </w:r>
      <w:r>
        <w:rPr>
          <w:rFonts w:hint="eastAsia" w:ascii="仿宋" w:hAnsi="仿宋" w:eastAsia="仿宋"/>
          <w:sz w:val="24"/>
          <w:szCs w:val="24"/>
        </w:rPr>
        <w:t>.网上缴费过程中应该注意的事项如下：</w:t>
      </w:r>
    </w:p>
    <w:p>
      <w:pPr>
        <w:spacing w:line="440" w:lineRule="exact"/>
        <w:ind w:firstLine="360" w:firstLineChars="150"/>
        <w:rPr>
          <w:rFonts w:ascii="仿宋" w:hAnsi="仿宋" w:eastAsia="仿宋"/>
          <w:sz w:val="24"/>
          <w:szCs w:val="24"/>
        </w:rPr>
      </w:pPr>
      <w:r>
        <w:rPr>
          <w:rFonts w:hint="eastAsia" w:ascii="仿宋" w:hAnsi="仿宋" w:eastAsia="仿宋"/>
          <w:sz w:val="24"/>
          <w:szCs w:val="24"/>
        </w:rPr>
        <w:t>（1）确认浏览器地址栏的域名为合肥工业大学收费平台的域名，在转接到银联付款页面后，请确认页面上的域名为银联在线支付或者用户银行卡所在银行的域名。</w:t>
      </w:r>
      <w:r>
        <w:rPr>
          <w:rFonts w:hint="eastAsia" w:eastAsia="仿宋"/>
          <w:sz w:val="24"/>
          <w:szCs w:val="24"/>
        </w:rPr>
        <w:t>    </w:t>
      </w:r>
    </w:p>
    <w:p>
      <w:pPr>
        <w:spacing w:line="440" w:lineRule="exact"/>
        <w:ind w:firstLine="360" w:firstLineChars="150"/>
        <w:rPr>
          <w:rFonts w:eastAsia="仿宋"/>
          <w:sz w:val="24"/>
          <w:szCs w:val="24"/>
        </w:rPr>
      </w:pPr>
      <w:r>
        <w:rPr>
          <w:rFonts w:hint="eastAsia" w:ascii="仿宋" w:hAnsi="仿宋" w:eastAsia="仿宋"/>
          <w:sz w:val="24"/>
          <w:szCs w:val="24"/>
        </w:rPr>
        <w:t>（2）请选择微信或支付宝进行扫码缴费。</w:t>
      </w:r>
    </w:p>
    <w:p>
      <w:pPr>
        <w:spacing w:line="440" w:lineRule="exact"/>
        <w:ind w:firstLine="360" w:firstLineChars="150"/>
        <w:rPr>
          <w:rFonts w:ascii="仿宋" w:hAnsi="仿宋" w:eastAsia="仿宋"/>
          <w:sz w:val="24"/>
          <w:szCs w:val="24"/>
        </w:rPr>
      </w:pPr>
      <w:r>
        <w:rPr>
          <w:rFonts w:hint="eastAsia" w:ascii="仿宋" w:hAnsi="仿宋" w:eastAsia="仿宋"/>
          <w:sz w:val="24"/>
          <w:szCs w:val="24"/>
        </w:rPr>
        <w:t>（</w:t>
      </w:r>
      <w:r>
        <w:rPr>
          <w:rFonts w:ascii="仿宋" w:hAnsi="仿宋" w:eastAsia="仿宋"/>
          <w:sz w:val="24"/>
          <w:szCs w:val="24"/>
        </w:rPr>
        <w:t>3</w:t>
      </w:r>
      <w:r>
        <w:rPr>
          <w:rFonts w:hint="eastAsia" w:ascii="仿宋" w:hAnsi="仿宋" w:eastAsia="仿宋"/>
          <w:sz w:val="24"/>
          <w:szCs w:val="24"/>
        </w:rPr>
        <w:t>）若遇到其他网上缴费问题，咨询电</w:t>
      </w:r>
      <w:r>
        <w:rPr>
          <w:rFonts w:hint="eastAsia" w:ascii="仿宋" w:hAnsi="仿宋" w:eastAsia="仿宋"/>
          <w:color w:val="000000" w:themeColor="text1"/>
          <w:sz w:val="24"/>
          <w:szCs w:val="24"/>
        </w:rPr>
        <w:t>话：62902111。</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val="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71BD"/>
    <w:rsid w:val="00011AF7"/>
    <w:rsid w:val="000413C4"/>
    <w:rsid w:val="00055002"/>
    <w:rsid w:val="00055B5D"/>
    <w:rsid w:val="00092D0A"/>
    <w:rsid w:val="000D2AFA"/>
    <w:rsid w:val="00105709"/>
    <w:rsid w:val="00134B1A"/>
    <w:rsid w:val="00145FA6"/>
    <w:rsid w:val="00152613"/>
    <w:rsid w:val="001745FC"/>
    <w:rsid w:val="001871BD"/>
    <w:rsid w:val="001F2725"/>
    <w:rsid w:val="001F45DD"/>
    <w:rsid w:val="001F59B3"/>
    <w:rsid w:val="00227906"/>
    <w:rsid w:val="002C657D"/>
    <w:rsid w:val="00312E94"/>
    <w:rsid w:val="00320732"/>
    <w:rsid w:val="003A65E6"/>
    <w:rsid w:val="003F52FE"/>
    <w:rsid w:val="00414555"/>
    <w:rsid w:val="004D1141"/>
    <w:rsid w:val="004D1E37"/>
    <w:rsid w:val="004D7A0F"/>
    <w:rsid w:val="004E2B65"/>
    <w:rsid w:val="004F0D09"/>
    <w:rsid w:val="00514F10"/>
    <w:rsid w:val="005176CD"/>
    <w:rsid w:val="005214FB"/>
    <w:rsid w:val="005407AD"/>
    <w:rsid w:val="005A0B6A"/>
    <w:rsid w:val="005C116D"/>
    <w:rsid w:val="005D0D75"/>
    <w:rsid w:val="005E216D"/>
    <w:rsid w:val="005F55CD"/>
    <w:rsid w:val="00627DA2"/>
    <w:rsid w:val="00650F7F"/>
    <w:rsid w:val="00675C08"/>
    <w:rsid w:val="006768F2"/>
    <w:rsid w:val="00710542"/>
    <w:rsid w:val="00711589"/>
    <w:rsid w:val="0073184C"/>
    <w:rsid w:val="00745A71"/>
    <w:rsid w:val="00747C9B"/>
    <w:rsid w:val="0076576F"/>
    <w:rsid w:val="00781841"/>
    <w:rsid w:val="007964AA"/>
    <w:rsid w:val="007A6B45"/>
    <w:rsid w:val="007A74F2"/>
    <w:rsid w:val="007D310D"/>
    <w:rsid w:val="008412CD"/>
    <w:rsid w:val="00860212"/>
    <w:rsid w:val="00874179"/>
    <w:rsid w:val="00880D73"/>
    <w:rsid w:val="0089552F"/>
    <w:rsid w:val="00925AA9"/>
    <w:rsid w:val="00992FFD"/>
    <w:rsid w:val="009A32F6"/>
    <w:rsid w:val="009B62BE"/>
    <w:rsid w:val="009F21C7"/>
    <w:rsid w:val="00A16D3E"/>
    <w:rsid w:val="00A4648F"/>
    <w:rsid w:val="00A761F6"/>
    <w:rsid w:val="00A76B84"/>
    <w:rsid w:val="00B1207D"/>
    <w:rsid w:val="00B276EB"/>
    <w:rsid w:val="00BA13BA"/>
    <w:rsid w:val="00BA6FE6"/>
    <w:rsid w:val="00BC533D"/>
    <w:rsid w:val="00BE7F8C"/>
    <w:rsid w:val="00C2038D"/>
    <w:rsid w:val="00CA5EC9"/>
    <w:rsid w:val="00CC75B7"/>
    <w:rsid w:val="00D55B7F"/>
    <w:rsid w:val="00DB5650"/>
    <w:rsid w:val="00DD12E2"/>
    <w:rsid w:val="00DD3538"/>
    <w:rsid w:val="00DD7827"/>
    <w:rsid w:val="00DE1FF7"/>
    <w:rsid w:val="00E100CA"/>
    <w:rsid w:val="00EF7630"/>
    <w:rsid w:val="00F253A4"/>
    <w:rsid w:val="00F44FC1"/>
    <w:rsid w:val="00F4664D"/>
    <w:rsid w:val="00F4740D"/>
    <w:rsid w:val="00F57AD6"/>
    <w:rsid w:val="00F66C5E"/>
    <w:rsid w:val="00F86D7B"/>
    <w:rsid w:val="00FE31B2"/>
    <w:rsid w:val="741E076D"/>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9"/>
    <w:semiHidden/>
    <w:unhideWhenUsed/>
    <w:uiPriority w:val="99"/>
    <w:rPr>
      <w:sz w:val="18"/>
      <w:szCs w:val="18"/>
    </w:rPr>
  </w:style>
  <w:style w:type="paragraph" w:styleId="3">
    <w:name w:val="footer"/>
    <w:basedOn w:val="1"/>
    <w:link w:val="8"/>
    <w:unhideWhenUsed/>
    <w:uiPriority w:val="99"/>
    <w:pPr>
      <w:tabs>
        <w:tab w:val="center" w:pos="4153"/>
        <w:tab w:val="right" w:pos="8306"/>
      </w:tabs>
      <w:snapToGrid w:val="0"/>
      <w:jc w:val="left"/>
    </w:pPr>
    <w:rPr>
      <w:sz w:val="18"/>
      <w:szCs w:val="18"/>
    </w:rPr>
  </w:style>
  <w:style w:type="paragraph" w:styleId="4">
    <w:name w:val="header"/>
    <w:basedOn w:val="1"/>
    <w:link w:val="7"/>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7">
    <w:name w:val="页眉 Char"/>
    <w:basedOn w:val="6"/>
    <w:link w:val="4"/>
    <w:uiPriority w:val="99"/>
    <w:rPr>
      <w:sz w:val="18"/>
      <w:szCs w:val="18"/>
    </w:rPr>
  </w:style>
  <w:style w:type="character" w:customStyle="1" w:styleId="8">
    <w:name w:val="页脚 Char"/>
    <w:basedOn w:val="6"/>
    <w:link w:val="3"/>
    <w:uiPriority w:val="99"/>
    <w:rPr>
      <w:sz w:val="18"/>
      <w:szCs w:val="18"/>
    </w:rPr>
  </w:style>
  <w:style w:type="character" w:customStyle="1" w:styleId="9">
    <w:name w:val="批注框文本 Char"/>
    <w:basedOn w:val="6"/>
    <w:link w:val="2"/>
    <w:semiHidden/>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2.xml"/><Relationship Id="rId8" Type="http://schemas.openxmlformats.org/officeDocument/2006/relationships/customXml" Target="../customXml/item1.xml"/><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72A9B75-58DE-4E63-8EF2-97CD6516E112}">
  <ds:schemaRefs/>
</ds:datastoreItem>
</file>

<file path=docProps/app.xml><?xml version="1.0" encoding="utf-8"?>
<Properties xmlns="http://schemas.openxmlformats.org/officeDocument/2006/extended-properties" xmlns:vt="http://schemas.openxmlformats.org/officeDocument/2006/docPropsVTypes">
  <Template>Normal</Template>
  <Pages>2</Pages>
  <Words>109</Words>
  <Characters>623</Characters>
  <Lines>5</Lines>
  <Paragraphs>1</Paragraphs>
  <TotalTime>13</TotalTime>
  <ScaleCrop>false</ScaleCrop>
  <LinksUpToDate>false</LinksUpToDate>
  <CharactersWithSpaces>731</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2022-06-03T09:05:00Z</dcterms:created>
  <dc:creator>wxq</dc:creator>
  <cp:lastModifiedBy>Zhq</cp:lastModifiedBy>
  <dcterms:modified xsi:type="dcterms:W3CDTF">2022-06-06T02:25:00Z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