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jc w:val="both"/>
        <w:rPr>
          <w:rFonts w:hint="eastAsia" w:ascii="黑体" w:hAnsi="黑体" w:eastAsia="黑体" w:cs="黑体"/>
          <w:b/>
          <w:bCs/>
          <w:sz w:val="24"/>
          <w:szCs w:val="36"/>
          <w:lang w:val="en-US" w:eastAsia="zh-CN"/>
        </w:rPr>
      </w:pPr>
      <w:bookmarkStart w:id="0" w:name="_Toc21520"/>
      <w:r>
        <w:rPr>
          <w:rFonts w:hint="eastAsia" w:ascii="黑体" w:hAnsi="黑体" w:eastAsia="黑体" w:cs="黑体"/>
          <w:b/>
          <w:bCs/>
          <w:sz w:val="24"/>
          <w:szCs w:val="36"/>
          <w:lang w:val="en-US" w:eastAsia="zh-CN"/>
        </w:rPr>
        <w:t>附件3：</w:t>
      </w:r>
    </w:p>
    <w:p>
      <w:pPr>
        <w:pStyle w:val="2"/>
      </w:pPr>
      <w:r>
        <w:rPr>
          <w:rFonts w:hint="eastAsia"/>
        </w:rPr>
        <w:t>合肥工业大学学院（部、中心）领导班子年度考核工作实施意见（试行）</w:t>
      </w:r>
      <w:bookmarkEnd w:id="0"/>
    </w:p>
    <w:p>
      <w:pPr>
        <w:spacing w:line="360" w:lineRule="auto"/>
        <w:ind w:firstLine="560" w:firstLineChars="200"/>
        <w:rPr>
          <w:rFonts w:ascii="宋体" w:hAnsi="宋体"/>
          <w:szCs w:val="28"/>
        </w:rPr>
      </w:pPr>
      <w:r>
        <w:rPr>
          <w:rFonts w:hint="eastAsia" w:ascii="宋体" w:hAnsi="宋体"/>
          <w:szCs w:val="28"/>
        </w:rPr>
        <w:t>为进一步做好学院（部、中心）年度考核工作，根据《合肥工业大学目标管理责任制实施办法》（暂行）的规定，特制定本办法。</w:t>
      </w:r>
    </w:p>
    <w:p>
      <w:pPr>
        <w:spacing w:line="360" w:lineRule="auto"/>
        <w:ind w:firstLine="562" w:firstLineChars="200"/>
        <w:rPr>
          <w:rFonts w:ascii="宋体" w:hAnsi="宋体"/>
          <w:szCs w:val="28"/>
        </w:rPr>
      </w:pPr>
      <w:r>
        <w:rPr>
          <w:rFonts w:hint="eastAsia" w:ascii="宋体" w:hAnsi="宋体"/>
          <w:b/>
          <w:szCs w:val="28"/>
        </w:rPr>
        <w:t>一、考核原则</w:t>
      </w:r>
    </w:p>
    <w:p>
      <w:pPr>
        <w:spacing w:line="360" w:lineRule="auto"/>
        <w:ind w:firstLine="560" w:firstLineChars="200"/>
        <w:rPr>
          <w:rFonts w:ascii="宋体" w:hAnsi="宋体"/>
          <w:szCs w:val="28"/>
        </w:rPr>
      </w:pPr>
      <w:r>
        <w:rPr>
          <w:rFonts w:hint="eastAsia" w:ascii="宋体" w:hAnsi="宋体"/>
          <w:szCs w:val="28"/>
        </w:rPr>
        <w:t>1、坚持分项与整体考核相结合、以整体考核为主，突出实绩的原则。</w:t>
      </w:r>
    </w:p>
    <w:p>
      <w:pPr>
        <w:spacing w:line="360" w:lineRule="auto"/>
        <w:ind w:firstLine="560" w:firstLineChars="200"/>
        <w:rPr>
          <w:rFonts w:ascii="宋体" w:hAnsi="宋体"/>
          <w:szCs w:val="28"/>
        </w:rPr>
      </w:pPr>
      <w:r>
        <w:rPr>
          <w:rFonts w:hint="eastAsia" w:ascii="宋体" w:hAnsi="宋体"/>
          <w:szCs w:val="28"/>
        </w:rPr>
        <w:t>2、坚持定性与定量考核相结合、以定量考核为主，突出标志性成果的原则。</w:t>
      </w:r>
    </w:p>
    <w:p>
      <w:pPr>
        <w:spacing w:line="360" w:lineRule="auto"/>
        <w:ind w:firstLine="560" w:firstLineChars="200"/>
        <w:rPr>
          <w:rFonts w:ascii="宋体" w:hAnsi="宋体"/>
          <w:szCs w:val="28"/>
        </w:rPr>
      </w:pPr>
      <w:r>
        <w:rPr>
          <w:rFonts w:hint="eastAsia" w:ascii="宋体" w:hAnsi="宋体"/>
          <w:szCs w:val="28"/>
        </w:rPr>
        <w:t>3、坚持公开、公平、公正的原则。</w:t>
      </w:r>
    </w:p>
    <w:p>
      <w:pPr>
        <w:spacing w:line="360" w:lineRule="auto"/>
        <w:ind w:firstLine="560" w:firstLineChars="200"/>
        <w:rPr>
          <w:rFonts w:ascii="宋体" w:hAnsi="宋体"/>
          <w:szCs w:val="28"/>
        </w:rPr>
      </w:pPr>
      <w:r>
        <w:rPr>
          <w:rFonts w:hint="eastAsia" w:ascii="宋体" w:hAnsi="宋体"/>
          <w:szCs w:val="28"/>
        </w:rPr>
        <w:t>4、坚持差异性原则，兼顾教学科研型和教学型两种学院类型。</w:t>
      </w:r>
    </w:p>
    <w:p>
      <w:pPr>
        <w:spacing w:line="360" w:lineRule="auto"/>
        <w:ind w:firstLine="562" w:firstLineChars="200"/>
        <w:rPr>
          <w:rFonts w:ascii="宋体" w:hAnsi="宋体"/>
          <w:szCs w:val="28"/>
        </w:rPr>
      </w:pPr>
      <w:r>
        <w:rPr>
          <w:rFonts w:hint="eastAsia" w:ascii="宋体" w:hAnsi="宋体"/>
          <w:b/>
          <w:szCs w:val="28"/>
        </w:rPr>
        <w:t>二、考核内容</w:t>
      </w:r>
    </w:p>
    <w:p>
      <w:pPr>
        <w:spacing w:line="360" w:lineRule="auto"/>
        <w:ind w:firstLine="560" w:firstLineChars="200"/>
        <w:rPr>
          <w:rFonts w:ascii="宋体" w:hAnsi="宋体"/>
          <w:szCs w:val="28"/>
        </w:rPr>
      </w:pPr>
      <w:r>
        <w:rPr>
          <w:rFonts w:ascii="宋体" w:hAnsi="宋体"/>
          <w:szCs w:val="28"/>
        </w:rPr>
        <w:t>1</w:t>
      </w:r>
      <w:r>
        <w:rPr>
          <w:rFonts w:hint="eastAsia" w:ascii="宋体" w:hAnsi="宋体"/>
          <w:szCs w:val="28"/>
        </w:rPr>
        <w:t>、对于单位测评，主要有党建思想政治与管理工作、人才培养工作、科研工作、研究生与学科工作、师资队伍建设工作、学生工作、国际化工作、行政管理工作目标等</w:t>
      </w:r>
      <w:r>
        <w:rPr>
          <w:rFonts w:hint="eastAsia" w:ascii="宋体" w:hAnsi="宋体"/>
          <w:szCs w:val="28"/>
          <w:lang w:val="en-US" w:eastAsia="zh-CN"/>
        </w:rPr>
        <w:t>八</w:t>
      </w:r>
      <w:r>
        <w:rPr>
          <w:rFonts w:hint="eastAsia" w:ascii="宋体" w:hAnsi="宋体"/>
          <w:szCs w:val="28"/>
        </w:rPr>
        <w:t>项考察指标，考核《学院（部、中心）年度目标考核要求》中明确的内容。</w:t>
      </w:r>
    </w:p>
    <w:p>
      <w:pPr>
        <w:spacing w:line="360" w:lineRule="auto"/>
        <w:ind w:firstLine="560" w:firstLineChars="200"/>
        <w:rPr>
          <w:rFonts w:ascii="宋体" w:hAnsi="宋体"/>
          <w:szCs w:val="28"/>
        </w:rPr>
      </w:pPr>
      <w:r>
        <w:rPr>
          <w:rFonts w:ascii="宋体" w:hAnsi="宋体"/>
          <w:szCs w:val="28"/>
        </w:rPr>
        <w:t>2</w:t>
      </w:r>
      <w:r>
        <w:rPr>
          <w:rFonts w:hint="eastAsia" w:ascii="宋体" w:hAnsi="宋体"/>
          <w:szCs w:val="28"/>
        </w:rPr>
        <w:t>、对于班子评价，教学科研型学院主要有党建与思政工作、教学工作、人才工作、科研工作、学生工作、</w:t>
      </w:r>
      <w:r>
        <w:rPr>
          <w:rFonts w:ascii="宋体" w:hAnsi="宋体"/>
          <w:szCs w:val="28"/>
        </w:rPr>
        <w:t>行政工作等</w:t>
      </w:r>
      <w:r>
        <w:rPr>
          <w:rFonts w:hint="eastAsia" w:ascii="宋体" w:hAnsi="宋体"/>
          <w:szCs w:val="28"/>
        </w:rPr>
        <w:t>六项关键指标，教学型学院主要有党建与思政工作、教学工作、师资工作、教研工作、学生工作、</w:t>
      </w:r>
      <w:r>
        <w:rPr>
          <w:rFonts w:ascii="宋体" w:hAnsi="宋体"/>
          <w:szCs w:val="28"/>
        </w:rPr>
        <w:t>行政工作等</w:t>
      </w:r>
      <w:r>
        <w:rPr>
          <w:rFonts w:hint="eastAsia" w:ascii="宋体" w:hAnsi="宋体"/>
          <w:szCs w:val="28"/>
        </w:rPr>
        <w:t>六项关键指标。</w:t>
      </w:r>
    </w:p>
    <w:p>
      <w:pPr>
        <w:spacing w:line="360" w:lineRule="auto"/>
        <w:ind w:firstLine="554" w:firstLineChars="197"/>
        <w:rPr>
          <w:rFonts w:ascii="宋体" w:hAnsi="宋体"/>
          <w:b/>
          <w:szCs w:val="28"/>
        </w:rPr>
      </w:pPr>
      <w:r>
        <w:rPr>
          <w:rFonts w:hint="eastAsia" w:ascii="宋体" w:hAnsi="宋体"/>
          <w:b/>
          <w:szCs w:val="28"/>
        </w:rPr>
        <w:t>三、考核办法</w:t>
      </w:r>
    </w:p>
    <w:p>
      <w:pPr>
        <w:spacing w:line="360" w:lineRule="auto"/>
        <w:ind w:firstLine="560" w:firstLineChars="200"/>
        <w:rPr>
          <w:rFonts w:ascii="宋体" w:hAnsi="宋体"/>
          <w:szCs w:val="28"/>
        </w:rPr>
      </w:pPr>
      <w:r>
        <w:rPr>
          <w:rFonts w:hint="eastAsia" w:ascii="宋体" w:hAnsi="宋体"/>
          <w:szCs w:val="28"/>
        </w:rPr>
        <w:t>1、对于学院领导班子的考核采取单位测评和班子评价的方式，单位测评占40%，班子评价占60%。</w:t>
      </w:r>
    </w:p>
    <w:p>
      <w:pPr>
        <w:spacing w:line="360" w:lineRule="auto"/>
        <w:ind w:firstLine="560" w:firstLineChars="200"/>
        <w:rPr>
          <w:rFonts w:ascii="宋体" w:hAnsi="宋体"/>
          <w:szCs w:val="28"/>
        </w:rPr>
      </w:pPr>
      <w:r>
        <w:rPr>
          <w:rFonts w:ascii="宋体" w:hAnsi="宋体"/>
          <w:szCs w:val="28"/>
        </w:rPr>
        <w:t>2</w:t>
      </w:r>
      <w:r>
        <w:rPr>
          <w:rFonts w:hint="eastAsia" w:ascii="宋体" w:hAnsi="宋体"/>
          <w:szCs w:val="28"/>
        </w:rPr>
        <w:t>、</w:t>
      </w:r>
      <w:r>
        <w:rPr>
          <w:rFonts w:ascii="宋体" w:hAnsi="宋体"/>
          <w:szCs w:val="28"/>
        </w:rPr>
        <w:t>单位测评由</w:t>
      </w:r>
      <w:r>
        <w:rPr>
          <w:rFonts w:hint="eastAsia" w:ascii="宋体" w:hAnsi="宋体"/>
          <w:szCs w:val="28"/>
          <w:lang w:val="en-US" w:eastAsia="zh-CN"/>
        </w:rPr>
        <w:t>九</w:t>
      </w:r>
      <w:r>
        <w:rPr>
          <w:rFonts w:hint="eastAsia" w:ascii="宋体" w:hAnsi="宋体"/>
          <w:szCs w:val="28"/>
        </w:rPr>
        <w:t>项考察</w:t>
      </w:r>
      <w:r>
        <w:rPr>
          <w:rFonts w:ascii="宋体" w:hAnsi="宋体"/>
          <w:szCs w:val="28"/>
        </w:rPr>
        <w:t>指标</w:t>
      </w:r>
      <w:r>
        <w:rPr>
          <w:rFonts w:hint="eastAsia" w:ascii="宋体" w:hAnsi="宋体"/>
          <w:szCs w:val="28"/>
        </w:rPr>
        <w:t>归口的相关职能部门按任务完成情况进行打分排序，单项考核结果分为“A”、“B”、“C”、“D”四个等级</w:t>
      </w:r>
      <w:r>
        <w:rPr>
          <w:rFonts w:ascii="宋体" w:hAnsi="宋体"/>
          <w:szCs w:val="28"/>
        </w:rPr>
        <w:t>。</w:t>
      </w:r>
      <w:r>
        <w:rPr>
          <w:rFonts w:hint="eastAsia" w:ascii="宋体" w:hAnsi="宋体"/>
          <w:szCs w:val="28"/>
        </w:rPr>
        <w:t>“A”为优秀</w:t>
      </w:r>
      <w:r>
        <w:rPr>
          <w:rFonts w:ascii="宋体" w:hAnsi="宋体"/>
          <w:szCs w:val="28"/>
        </w:rPr>
        <w:t>，</w:t>
      </w:r>
      <w:r>
        <w:rPr>
          <w:rFonts w:hint="eastAsia" w:ascii="宋体" w:hAnsi="宋体"/>
          <w:szCs w:val="28"/>
        </w:rPr>
        <w:t>对应</w:t>
      </w:r>
      <w:r>
        <w:rPr>
          <w:rFonts w:ascii="宋体" w:hAnsi="宋体"/>
          <w:szCs w:val="28"/>
        </w:rPr>
        <w:t>分数为</w:t>
      </w:r>
      <w:r>
        <w:rPr>
          <w:rFonts w:hint="eastAsia" w:ascii="宋体" w:hAnsi="宋体"/>
          <w:szCs w:val="28"/>
        </w:rPr>
        <w:t>85-100分；</w:t>
      </w:r>
      <w:r>
        <w:rPr>
          <w:rFonts w:ascii="宋体" w:hAnsi="宋体"/>
          <w:szCs w:val="28"/>
        </w:rPr>
        <w:t>“B”</w:t>
      </w:r>
      <w:r>
        <w:rPr>
          <w:rFonts w:hint="eastAsia" w:ascii="宋体" w:hAnsi="宋体"/>
          <w:szCs w:val="28"/>
        </w:rPr>
        <w:t>为良好</w:t>
      </w:r>
      <w:r>
        <w:rPr>
          <w:rFonts w:ascii="宋体" w:hAnsi="宋体"/>
          <w:szCs w:val="28"/>
        </w:rPr>
        <w:t>，</w:t>
      </w:r>
      <w:r>
        <w:rPr>
          <w:rFonts w:hint="eastAsia" w:ascii="宋体" w:hAnsi="宋体"/>
          <w:szCs w:val="28"/>
        </w:rPr>
        <w:t>对应</w:t>
      </w:r>
      <w:r>
        <w:rPr>
          <w:rFonts w:ascii="宋体" w:hAnsi="宋体"/>
          <w:szCs w:val="28"/>
        </w:rPr>
        <w:t>分数为70</w:t>
      </w:r>
      <w:r>
        <w:rPr>
          <w:rFonts w:hint="eastAsia" w:ascii="宋体" w:hAnsi="宋体"/>
          <w:szCs w:val="28"/>
        </w:rPr>
        <w:t>-</w:t>
      </w:r>
      <w:r>
        <w:rPr>
          <w:rFonts w:ascii="宋体" w:hAnsi="宋体"/>
          <w:szCs w:val="28"/>
        </w:rPr>
        <w:t>85</w:t>
      </w:r>
      <w:r>
        <w:rPr>
          <w:rFonts w:hint="eastAsia" w:ascii="宋体" w:hAnsi="宋体"/>
          <w:szCs w:val="28"/>
        </w:rPr>
        <w:t>分；“</w:t>
      </w:r>
      <w:r>
        <w:rPr>
          <w:rFonts w:ascii="宋体" w:hAnsi="宋体"/>
          <w:szCs w:val="28"/>
        </w:rPr>
        <w:t>C</w:t>
      </w:r>
      <w:r>
        <w:rPr>
          <w:rFonts w:hint="eastAsia" w:ascii="宋体" w:hAnsi="宋体"/>
          <w:szCs w:val="28"/>
        </w:rPr>
        <w:t>”为中等</w:t>
      </w:r>
      <w:r>
        <w:rPr>
          <w:rFonts w:ascii="宋体" w:hAnsi="宋体"/>
          <w:szCs w:val="28"/>
        </w:rPr>
        <w:t>，</w:t>
      </w:r>
      <w:r>
        <w:rPr>
          <w:rFonts w:hint="eastAsia" w:ascii="宋体" w:hAnsi="宋体"/>
          <w:szCs w:val="28"/>
        </w:rPr>
        <w:t>对应</w:t>
      </w:r>
      <w:r>
        <w:rPr>
          <w:rFonts w:ascii="宋体" w:hAnsi="宋体"/>
          <w:szCs w:val="28"/>
        </w:rPr>
        <w:t>分数为</w:t>
      </w:r>
      <w:r>
        <w:rPr>
          <w:rFonts w:hint="eastAsia" w:ascii="宋体" w:hAnsi="宋体"/>
          <w:szCs w:val="28"/>
        </w:rPr>
        <w:t>60-70分</w:t>
      </w:r>
      <w:r>
        <w:rPr>
          <w:rFonts w:ascii="宋体" w:hAnsi="宋体"/>
          <w:szCs w:val="28"/>
        </w:rPr>
        <w:t>；</w:t>
      </w:r>
      <w:r>
        <w:rPr>
          <w:rFonts w:hint="eastAsia" w:ascii="宋体" w:hAnsi="宋体"/>
          <w:szCs w:val="28"/>
        </w:rPr>
        <w:t>“</w:t>
      </w:r>
      <w:r>
        <w:rPr>
          <w:rFonts w:ascii="宋体" w:hAnsi="宋体"/>
          <w:szCs w:val="28"/>
        </w:rPr>
        <w:t>D</w:t>
      </w:r>
      <w:r>
        <w:rPr>
          <w:rFonts w:hint="eastAsia" w:ascii="宋体" w:hAnsi="宋体"/>
          <w:szCs w:val="28"/>
        </w:rPr>
        <w:t>”为差</w:t>
      </w:r>
      <w:r>
        <w:rPr>
          <w:rFonts w:ascii="宋体" w:hAnsi="宋体"/>
          <w:szCs w:val="28"/>
        </w:rPr>
        <w:t>，</w:t>
      </w:r>
      <w:r>
        <w:rPr>
          <w:rFonts w:hint="eastAsia" w:ascii="宋体" w:hAnsi="宋体"/>
          <w:szCs w:val="28"/>
        </w:rPr>
        <w:t>对应</w:t>
      </w:r>
      <w:r>
        <w:rPr>
          <w:rFonts w:ascii="宋体" w:hAnsi="宋体"/>
          <w:szCs w:val="28"/>
        </w:rPr>
        <w:t>分数为</w:t>
      </w:r>
      <w:r>
        <w:rPr>
          <w:rFonts w:hint="eastAsia" w:ascii="宋体" w:hAnsi="宋体"/>
          <w:szCs w:val="28"/>
        </w:rPr>
        <w:t>60分以下。</w:t>
      </w:r>
    </w:p>
    <w:p>
      <w:pPr>
        <w:spacing w:line="360" w:lineRule="auto"/>
        <w:ind w:firstLine="560" w:firstLineChars="200"/>
        <w:rPr>
          <w:rFonts w:ascii="宋体" w:hAnsi="宋体"/>
          <w:szCs w:val="28"/>
        </w:rPr>
      </w:pPr>
      <w:r>
        <w:rPr>
          <w:rFonts w:hint="eastAsia" w:ascii="宋体" w:hAnsi="宋体"/>
          <w:szCs w:val="28"/>
        </w:rPr>
        <w:t>3、班子测评是由单位根据六项关键指标完成情况进行述职答辩，学校考核领导小组结合单位测评结果</w:t>
      </w:r>
      <w:r>
        <w:rPr>
          <w:rFonts w:hint="eastAsia" w:ascii="宋体" w:hAnsi="宋体" w:cs="宋体"/>
          <w:iCs/>
          <w:kern w:val="0"/>
          <w:szCs w:val="28"/>
        </w:rPr>
        <w:t>及六项指标评估进行打分排序。</w:t>
      </w:r>
    </w:p>
    <w:p>
      <w:pPr>
        <w:spacing w:line="360" w:lineRule="auto"/>
        <w:ind w:firstLine="562" w:firstLineChars="200"/>
        <w:rPr>
          <w:rFonts w:ascii="宋体" w:hAnsi="宋体"/>
          <w:szCs w:val="28"/>
        </w:rPr>
      </w:pPr>
      <w:r>
        <w:rPr>
          <w:rFonts w:hint="eastAsia" w:ascii="宋体" w:hAnsi="宋体"/>
          <w:b/>
          <w:szCs w:val="28"/>
        </w:rPr>
        <w:t>四、考核等级</w:t>
      </w:r>
    </w:p>
    <w:p>
      <w:pPr>
        <w:spacing w:line="360" w:lineRule="auto"/>
        <w:ind w:firstLine="560" w:firstLineChars="200"/>
        <w:rPr>
          <w:rFonts w:ascii="宋体" w:hAnsi="宋体"/>
          <w:szCs w:val="28"/>
        </w:rPr>
      </w:pPr>
      <w:r>
        <w:rPr>
          <w:rFonts w:ascii="宋体" w:hAnsi="宋体"/>
          <w:szCs w:val="28"/>
        </w:rPr>
        <w:t>1</w:t>
      </w:r>
      <w:r>
        <w:rPr>
          <w:rFonts w:hint="eastAsia" w:ascii="宋体" w:hAnsi="宋体"/>
          <w:szCs w:val="28"/>
        </w:rPr>
        <w:t>、学院（部、中心）领导班子考核等级分为优秀、合格、不合格三个等级。</w:t>
      </w:r>
    </w:p>
    <w:p>
      <w:pPr>
        <w:spacing w:line="360" w:lineRule="auto"/>
        <w:ind w:firstLine="560" w:firstLineChars="200"/>
        <w:rPr>
          <w:rFonts w:ascii="宋体" w:hAnsi="宋体"/>
          <w:szCs w:val="28"/>
        </w:rPr>
      </w:pPr>
      <w:r>
        <w:rPr>
          <w:rFonts w:ascii="宋体" w:hAnsi="宋体"/>
          <w:szCs w:val="28"/>
        </w:rPr>
        <w:t>2</w:t>
      </w:r>
      <w:r>
        <w:rPr>
          <w:rFonts w:hint="eastAsia" w:ascii="宋体" w:hAnsi="宋体"/>
          <w:szCs w:val="28"/>
        </w:rPr>
        <w:t>、领导班子为优秀的单位不超过5个。</w:t>
      </w:r>
    </w:p>
    <w:p>
      <w:pPr>
        <w:spacing w:line="360" w:lineRule="auto"/>
        <w:ind w:firstLine="560" w:firstLineChars="200"/>
        <w:rPr>
          <w:rFonts w:ascii="宋体" w:hAnsi="宋体"/>
          <w:szCs w:val="28"/>
        </w:rPr>
      </w:pPr>
      <w:r>
        <w:rPr>
          <w:rFonts w:ascii="宋体" w:hAnsi="宋体"/>
          <w:szCs w:val="28"/>
        </w:rPr>
        <w:t>3</w:t>
      </w:r>
      <w:r>
        <w:rPr>
          <w:rFonts w:hint="eastAsia" w:ascii="宋体" w:hAnsi="宋体"/>
          <w:szCs w:val="28"/>
        </w:rPr>
        <w:t>、如有下列情况之一者，该领导班子考核不得为优秀。</w:t>
      </w:r>
    </w:p>
    <w:p>
      <w:pPr>
        <w:spacing w:line="360" w:lineRule="auto"/>
        <w:ind w:firstLine="560" w:firstLineChars="200"/>
        <w:rPr>
          <w:rFonts w:ascii="宋体" w:hAnsi="宋体"/>
          <w:szCs w:val="28"/>
        </w:rPr>
      </w:pPr>
      <w:r>
        <w:rPr>
          <w:rFonts w:hint="eastAsia" w:ascii="宋体" w:hAnsi="宋体"/>
          <w:szCs w:val="28"/>
        </w:rPr>
        <w:t>（1</w:t>
      </w:r>
      <w:r>
        <w:rPr>
          <w:rFonts w:ascii="宋体" w:hAnsi="宋体"/>
          <w:szCs w:val="28"/>
        </w:rPr>
        <w:t>）</w:t>
      </w:r>
      <w:r>
        <w:rPr>
          <w:rFonts w:hint="eastAsia" w:ascii="宋体" w:hAnsi="宋体"/>
          <w:szCs w:val="28"/>
        </w:rPr>
        <w:t>未完成本科教学任务的单位。</w:t>
      </w:r>
    </w:p>
    <w:p>
      <w:pPr>
        <w:spacing w:line="360" w:lineRule="auto"/>
        <w:ind w:firstLine="560" w:firstLineChars="200"/>
        <w:rPr>
          <w:rFonts w:ascii="宋体" w:hAnsi="宋体"/>
          <w:szCs w:val="28"/>
        </w:rPr>
      </w:pPr>
      <w:r>
        <w:rPr>
          <w:rFonts w:hint="eastAsia" w:ascii="宋体" w:hAnsi="宋体"/>
          <w:szCs w:val="28"/>
        </w:rPr>
        <w:t>（2</w:t>
      </w:r>
      <w:r>
        <w:rPr>
          <w:rFonts w:ascii="宋体" w:hAnsi="宋体"/>
          <w:szCs w:val="28"/>
        </w:rPr>
        <w:t>）</w:t>
      </w:r>
      <w:r>
        <w:rPr>
          <w:rFonts w:hint="eastAsia" w:ascii="宋体" w:hAnsi="宋体"/>
          <w:szCs w:val="28"/>
        </w:rPr>
        <w:t>发生重大责任事件的单位。</w:t>
      </w:r>
    </w:p>
    <w:p>
      <w:pPr>
        <w:spacing w:line="360" w:lineRule="auto"/>
        <w:ind w:firstLine="560" w:firstLineChars="200"/>
        <w:rPr>
          <w:rFonts w:ascii="宋体" w:hAnsi="宋体"/>
          <w:szCs w:val="28"/>
        </w:rPr>
      </w:pPr>
      <w:r>
        <w:rPr>
          <w:rFonts w:hint="eastAsia" w:ascii="宋体" w:hAnsi="宋体"/>
          <w:szCs w:val="28"/>
        </w:rPr>
        <w:t>（3</w:t>
      </w:r>
      <w:r>
        <w:rPr>
          <w:rFonts w:ascii="宋体" w:hAnsi="宋体"/>
          <w:szCs w:val="28"/>
        </w:rPr>
        <w:t>）</w:t>
      </w:r>
      <w:r>
        <w:rPr>
          <w:rFonts w:hint="eastAsia" w:ascii="宋体" w:hAnsi="宋体"/>
          <w:szCs w:val="28"/>
        </w:rPr>
        <w:t>造成学校声誉或经济的重大损失的单位。</w:t>
      </w:r>
    </w:p>
    <w:p>
      <w:pPr>
        <w:spacing w:line="360" w:lineRule="auto"/>
        <w:ind w:firstLine="560" w:firstLineChars="200"/>
        <w:rPr>
          <w:rFonts w:ascii="宋体" w:hAnsi="宋体"/>
          <w:szCs w:val="28"/>
        </w:rPr>
      </w:pPr>
      <w:r>
        <w:rPr>
          <w:rFonts w:hint="eastAsia" w:ascii="宋体" w:hAnsi="宋体"/>
          <w:szCs w:val="28"/>
        </w:rPr>
        <w:t>（4</w:t>
      </w:r>
      <w:r>
        <w:rPr>
          <w:rFonts w:ascii="宋体" w:hAnsi="宋体"/>
          <w:szCs w:val="28"/>
        </w:rPr>
        <w:t>）</w:t>
      </w:r>
      <w:r>
        <w:rPr>
          <w:rFonts w:hint="eastAsia" w:ascii="宋体" w:hAnsi="宋体"/>
          <w:szCs w:val="28"/>
        </w:rPr>
        <w:t>廉政建设、意识形态、保密、安全稳定出现重大问题的单位。</w:t>
      </w:r>
    </w:p>
    <w:p>
      <w:pPr>
        <w:spacing w:line="360" w:lineRule="auto"/>
        <w:ind w:firstLine="560" w:firstLineChars="200"/>
        <w:rPr>
          <w:rFonts w:ascii="宋体" w:hAnsi="宋体"/>
          <w:szCs w:val="28"/>
        </w:rPr>
      </w:pPr>
      <w:r>
        <w:rPr>
          <w:rFonts w:hint="eastAsia" w:ascii="宋体" w:hAnsi="宋体"/>
          <w:szCs w:val="28"/>
        </w:rPr>
        <w:t>（5</w:t>
      </w:r>
      <w:r>
        <w:rPr>
          <w:rFonts w:ascii="宋体" w:hAnsi="宋体"/>
          <w:szCs w:val="28"/>
        </w:rPr>
        <w:t>）</w:t>
      </w:r>
      <w:r>
        <w:rPr>
          <w:rFonts w:hint="eastAsia" w:ascii="宋体" w:hAnsi="宋体"/>
          <w:szCs w:val="28"/>
        </w:rPr>
        <w:t>经学校认定的其他责任事故单位。</w:t>
      </w:r>
    </w:p>
    <w:p>
      <w:pPr>
        <w:spacing w:line="360" w:lineRule="auto"/>
        <w:ind w:firstLine="562" w:firstLineChars="200"/>
        <w:rPr>
          <w:rFonts w:ascii="宋体" w:hAnsi="宋体"/>
          <w:b/>
          <w:szCs w:val="28"/>
        </w:rPr>
      </w:pPr>
      <w:r>
        <w:rPr>
          <w:rFonts w:hint="eastAsia" w:ascii="宋体" w:hAnsi="宋体"/>
          <w:b/>
          <w:szCs w:val="28"/>
        </w:rPr>
        <w:t>五、考核程序</w:t>
      </w:r>
    </w:p>
    <w:p>
      <w:pPr>
        <w:spacing w:line="360" w:lineRule="auto"/>
        <w:ind w:firstLine="560" w:firstLineChars="200"/>
        <w:rPr>
          <w:rFonts w:ascii="宋体" w:hAnsi="宋体" w:cs="宋体"/>
          <w:iCs/>
          <w:kern w:val="0"/>
          <w:szCs w:val="28"/>
        </w:rPr>
      </w:pPr>
      <w:r>
        <w:rPr>
          <w:rFonts w:hint="eastAsia" w:ascii="宋体" w:hAnsi="宋体" w:cs="宋体"/>
          <w:iCs/>
          <w:kern w:val="0"/>
          <w:szCs w:val="28"/>
        </w:rPr>
        <w:t>1、单位自评。各学院（部、中心）根据年度目标任务指标完成情况进行自评，在充分征求基层党支部意见基础上，向学校提交领导班子自评报告。自评报告主要阐述领导班子主要开展的工作、六项关键指标的完成情况、年度工作亮点、存在的主要问题等，要求言简意赅，层次分明。填写《合肥工业大学学院（部、中心）年度业绩简表》。</w:t>
      </w:r>
    </w:p>
    <w:p>
      <w:pPr>
        <w:spacing w:line="360" w:lineRule="auto"/>
        <w:ind w:firstLine="560" w:firstLineChars="200"/>
        <w:rPr>
          <w:rFonts w:ascii="宋体" w:hAnsi="宋体" w:cs="宋体"/>
          <w:iCs/>
          <w:kern w:val="0"/>
          <w:szCs w:val="28"/>
        </w:rPr>
      </w:pPr>
      <w:r>
        <w:rPr>
          <w:rFonts w:hint="eastAsia" w:ascii="宋体" w:hAnsi="宋体" w:cs="宋体"/>
          <w:iCs/>
          <w:kern w:val="0"/>
          <w:szCs w:val="28"/>
        </w:rPr>
        <w:t>2、学校测评。</w:t>
      </w:r>
      <w:r>
        <w:rPr>
          <w:rFonts w:hint="eastAsia" w:ascii="宋体" w:hAnsi="宋体" w:cs="宋体"/>
          <w:iCs/>
          <w:kern w:val="0"/>
          <w:szCs w:val="28"/>
          <w:lang w:val="en-US" w:eastAsia="zh-CN"/>
        </w:rPr>
        <w:t>九</w:t>
      </w:r>
      <w:r>
        <w:rPr>
          <w:rFonts w:hint="eastAsia" w:ascii="宋体" w:hAnsi="宋体" w:cs="宋体"/>
          <w:iCs/>
          <w:kern w:val="0"/>
          <w:szCs w:val="28"/>
        </w:rPr>
        <w:t>项考察指标由相关职能部门根据目标体系指标打分排序,并给出</w:t>
      </w:r>
      <w:r>
        <w:rPr>
          <w:rFonts w:hint="eastAsia" w:ascii="宋体" w:hAnsi="宋体"/>
          <w:szCs w:val="28"/>
        </w:rPr>
        <w:t>“A”、“B”、“C”、“D”四个等级</w:t>
      </w:r>
      <w:r>
        <w:rPr>
          <w:rFonts w:hint="eastAsia" w:ascii="宋体" w:hAnsi="宋体" w:cs="宋体"/>
          <w:iCs/>
          <w:kern w:val="0"/>
          <w:szCs w:val="28"/>
        </w:rPr>
        <w:t>，各项指标打分结果由党委组织部汇总提交学校考核领导小组。</w:t>
      </w:r>
    </w:p>
    <w:p>
      <w:pPr>
        <w:spacing w:line="360" w:lineRule="auto"/>
        <w:ind w:firstLine="560" w:firstLineChars="200"/>
        <w:rPr>
          <w:rFonts w:ascii="宋体" w:hAnsi="宋体" w:cs="宋体"/>
          <w:iCs/>
          <w:kern w:val="0"/>
          <w:szCs w:val="28"/>
        </w:rPr>
      </w:pPr>
      <w:r>
        <w:rPr>
          <w:rFonts w:hint="eastAsia" w:ascii="宋体" w:hAnsi="宋体" w:cs="宋体"/>
          <w:iCs/>
          <w:kern w:val="0"/>
          <w:szCs w:val="28"/>
        </w:rPr>
        <w:t>3、答辩评价。学校考核领导小组听取学院班子述职答辩，并根据测评结果进行综合打分排序，拟定优秀班子建议名单。</w:t>
      </w:r>
    </w:p>
    <w:p>
      <w:pPr>
        <w:spacing w:line="360" w:lineRule="auto"/>
        <w:ind w:firstLine="560" w:firstLineChars="200"/>
        <w:rPr>
          <w:rFonts w:ascii="宋体" w:hAnsi="宋体"/>
          <w:szCs w:val="28"/>
        </w:rPr>
      </w:pPr>
      <w:r>
        <w:rPr>
          <w:rFonts w:hint="eastAsia" w:ascii="宋体" w:hAnsi="宋体" w:cs="宋体"/>
          <w:iCs/>
          <w:kern w:val="0"/>
          <w:szCs w:val="28"/>
        </w:rPr>
        <w:t>4、学校审定。党委常委会研究确定考核结果。</w:t>
      </w:r>
    </w:p>
    <w:p>
      <w:pPr>
        <w:spacing w:line="360" w:lineRule="auto"/>
        <w:ind w:firstLine="560" w:firstLineChars="200"/>
        <w:rPr>
          <w:rFonts w:ascii="宋体" w:hAnsi="宋体"/>
          <w:szCs w:val="28"/>
        </w:rPr>
      </w:pPr>
      <w:r>
        <w:rPr>
          <w:rFonts w:ascii="宋体" w:hAnsi="宋体"/>
          <w:szCs w:val="28"/>
        </w:rPr>
        <w:t>5</w:t>
      </w:r>
      <w:r>
        <w:rPr>
          <w:rFonts w:hint="eastAsia" w:ascii="宋体" w:hAnsi="宋体"/>
          <w:szCs w:val="28"/>
        </w:rPr>
        <w:t>、公示。学校公示考核结果。</w:t>
      </w:r>
    </w:p>
    <w:p>
      <w:pPr>
        <w:spacing w:line="360" w:lineRule="auto"/>
        <w:ind w:firstLine="562" w:firstLineChars="200"/>
        <w:rPr>
          <w:rFonts w:ascii="宋体" w:hAnsi="宋体"/>
          <w:szCs w:val="28"/>
        </w:rPr>
      </w:pPr>
      <w:r>
        <w:rPr>
          <w:rFonts w:hint="eastAsia" w:ascii="宋体" w:hAnsi="宋体"/>
          <w:b/>
          <w:szCs w:val="28"/>
        </w:rPr>
        <w:t>六、考核奖励</w:t>
      </w:r>
    </w:p>
    <w:p>
      <w:pPr>
        <w:spacing w:line="360" w:lineRule="auto"/>
        <w:ind w:firstLine="560" w:firstLineChars="200"/>
        <w:rPr>
          <w:rFonts w:ascii="宋体" w:hAnsi="宋体"/>
          <w:szCs w:val="28"/>
        </w:rPr>
      </w:pPr>
      <w:r>
        <w:rPr>
          <w:rFonts w:hint="eastAsia" w:ascii="宋体" w:hAnsi="宋体"/>
          <w:szCs w:val="28"/>
        </w:rPr>
        <w:t>1、对于每个考核为优秀的领导班子，学校给予20万元奖励。</w:t>
      </w:r>
    </w:p>
    <w:p>
      <w:pPr>
        <w:spacing w:line="360" w:lineRule="auto"/>
        <w:ind w:firstLine="560" w:firstLineChars="200"/>
        <w:rPr>
          <w:rFonts w:ascii="宋体" w:hAnsi="宋体"/>
          <w:szCs w:val="28"/>
        </w:rPr>
      </w:pPr>
      <w:r>
        <w:rPr>
          <w:rFonts w:hint="eastAsia" w:ascii="宋体" w:hAnsi="宋体"/>
          <w:szCs w:val="28"/>
        </w:rPr>
        <w:t>2、目标考核结果由学校组织人事部门记录存档，作为单位领导班子成员任用的重要依据。</w:t>
      </w:r>
    </w:p>
    <w:p>
      <w:pPr>
        <w:spacing w:line="360" w:lineRule="auto"/>
        <w:ind w:firstLine="562" w:firstLineChars="200"/>
        <w:rPr>
          <w:rFonts w:ascii="宋体" w:hAnsi="宋体"/>
          <w:b/>
          <w:szCs w:val="28"/>
        </w:rPr>
      </w:pPr>
      <w:r>
        <w:rPr>
          <w:rFonts w:hint="eastAsia" w:ascii="宋体" w:hAnsi="宋体"/>
          <w:b/>
          <w:szCs w:val="28"/>
        </w:rPr>
        <w:t>七、附则</w:t>
      </w:r>
    </w:p>
    <w:p>
      <w:pPr>
        <w:spacing w:line="360" w:lineRule="auto"/>
        <w:ind w:firstLine="560" w:firstLineChars="200"/>
        <w:rPr>
          <w:rFonts w:hint="eastAsia" w:ascii="宋体" w:hAnsi="宋体"/>
          <w:szCs w:val="28"/>
        </w:rPr>
      </w:pPr>
      <w:r>
        <w:rPr>
          <w:rFonts w:hint="eastAsia" w:hAnsi="宋体"/>
          <w:szCs w:val="28"/>
        </w:rPr>
        <w:t>本办法</w:t>
      </w:r>
      <w:r>
        <w:rPr>
          <w:rFonts w:hint="eastAsia" w:ascii="宋体" w:hAnsi="宋体"/>
          <w:szCs w:val="28"/>
        </w:rPr>
        <w:t>由组织部、人事部负责解释。</w:t>
      </w:r>
    </w:p>
    <w:p>
      <w:pPr>
        <w:spacing w:line="360" w:lineRule="auto"/>
        <w:ind w:firstLine="560" w:firstLineChars="200"/>
        <w:rPr>
          <w:rFonts w:hint="eastAsia" w:ascii="宋体" w:hAnsi="宋体"/>
          <w:szCs w:val="28"/>
        </w:rPr>
      </w:pPr>
    </w:p>
    <w:p>
      <w:pPr>
        <w:spacing w:line="360" w:lineRule="auto"/>
        <w:ind w:firstLine="6300" w:firstLineChars="2250"/>
        <w:rPr>
          <w:rFonts w:ascii="宋体" w:hAnsi="宋体"/>
          <w:szCs w:val="28"/>
        </w:rPr>
      </w:pPr>
      <w:r>
        <w:rPr>
          <w:rFonts w:hint="eastAsia" w:ascii="宋体" w:hAnsi="宋体"/>
          <w:szCs w:val="28"/>
        </w:rPr>
        <w:t>合肥</w:t>
      </w:r>
      <w:r>
        <w:rPr>
          <w:rFonts w:ascii="宋体" w:hAnsi="宋体"/>
          <w:szCs w:val="28"/>
        </w:rPr>
        <w:t>工业大学</w:t>
      </w:r>
    </w:p>
    <w:p>
      <w:pPr>
        <w:spacing w:line="360" w:lineRule="auto"/>
        <w:jc w:val="right"/>
        <w:rPr>
          <w:rFonts w:ascii="宋体" w:hAnsi="宋体"/>
          <w:szCs w:val="28"/>
        </w:rPr>
      </w:pPr>
      <w:r>
        <w:rPr>
          <w:rFonts w:hint="eastAsia" w:ascii="宋体" w:hAnsi="宋体"/>
          <w:szCs w:val="28"/>
        </w:rPr>
        <w:t>2016年7月1日</w:t>
      </w:r>
    </w:p>
    <w:p>
      <w:pPr>
        <w:rPr>
          <w:rFonts w:hint="eastAsia"/>
        </w:rPr>
      </w:pPr>
      <w:bookmarkStart w:id="1" w:name="_Toc27362"/>
      <w:r>
        <w:rPr>
          <w:rFonts w:hint="eastAsia"/>
        </w:rPr>
        <w:br w:type="page"/>
      </w:r>
    </w:p>
    <w:p>
      <w:pPr>
        <w:pStyle w:val="2"/>
        <w:rPr>
          <w:rFonts w:hint="eastAsia"/>
        </w:rPr>
        <w:sectPr>
          <w:pgSz w:w="11906" w:h="16838"/>
          <w:pgMar w:top="1440" w:right="1800" w:bottom="1440" w:left="1800" w:header="851" w:footer="992" w:gutter="0"/>
          <w:cols w:space="425" w:num="1"/>
          <w:docGrid w:type="lines" w:linePitch="312" w:charSpace="0"/>
        </w:sectPr>
      </w:pPr>
    </w:p>
    <w:p>
      <w:pPr>
        <w:pStyle w:val="2"/>
        <w:rPr>
          <w:rFonts w:hint="eastAsia" w:eastAsiaTheme="majorEastAsia"/>
          <w:lang w:eastAsia="zh-CN"/>
        </w:rPr>
      </w:pPr>
      <w:r>
        <w:rPr>
          <w:rFonts w:hint="eastAsia"/>
        </w:rPr>
        <w:t>学院（部）考核关键指标</w:t>
      </w:r>
      <w:bookmarkEnd w:id="1"/>
      <w:r>
        <w:rPr>
          <w:rFonts w:hint="eastAsia"/>
          <w:lang w:eastAsia="zh-CN"/>
        </w:rPr>
        <w:t>（</w:t>
      </w:r>
      <w:r>
        <w:rPr>
          <w:rFonts w:hint="eastAsia"/>
          <w:lang w:val="en-US" w:eastAsia="zh-CN"/>
        </w:rPr>
        <w:t>2021年修订</w:t>
      </w:r>
      <w:r>
        <w:rPr>
          <w:rFonts w:hint="eastAsia"/>
          <w:lang w:eastAsia="zh-CN"/>
        </w:rPr>
        <w:t>）</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149"/>
        <w:gridCol w:w="9866"/>
        <w:gridCol w:w="215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2149" w:type="dxa"/>
          </w:tcPr>
          <w:p>
            <w:pPr>
              <w:widowControl/>
              <w:spacing w:line="440" w:lineRule="exact"/>
              <w:jc w:val="center"/>
              <w:rPr>
                <w:rFonts w:hint="eastAsia" w:ascii="宋体" w:hAnsi="宋体" w:eastAsia="宋体" w:cs="宋体"/>
                <w:b/>
                <w:bCs/>
                <w:kern w:val="0"/>
                <w:szCs w:val="28"/>
              </w:rPr>
            </w:pPr>
            <w:r>
              <w:rPr>
                <w:rFonts w:hint="eastAsia" w:ascii="宋体" w:hAnsi="宋体" w:eastAsia="宋体" w:cs="宋体"/>
                <w:b/>
                <w:bCs/>
                <w:kern w:val="0"/>
                <w:szCs w:val="28"/>
              </w:rPr>
              <w:t>考核项目</w:t>
            </w:r>
          </w:p>
        </w:tc>
        <w:tc>
          <w:tcPr>
            <w:tcW w:w="9866" w:type="dxa"/>
          </w:tcPr>
          <w:p>
            <w:pPr>
              <w:widowControl/>
              <w:spacing w:line="440" w:lineRule="exact"/>
              <w:jc w:val="center"/>
              <w:rPr>
                <w:rFonts w:hint="eastAsia" w:ascii="宋体" w:hAnsi="宋体" w:eastAsia="宋体" w:cs="宋体"/>
                <w:b/>
                <w:bCs/>
                <w:kern w:val="0"/>
                <w:szCs w:val="28"/>
              </w:rPr>
            </w:pPr>
            <w:r>
              <w:rPr>
                <w:rFonts w:hint="eastAsia" w:ascii="宋体" w:hAnsi="宋体" w:eastAsia="宋体" w:cs="宋体"/>
                <w:b/>
                <w:bCs/>
                <w:szCs w:val="28"/>
              </w:rPr>
              <w:t>关键指标</w:t>
            </w:r>
          </w:p>
        </w:tc>
        <w:tc>
          <w:tcPr>
            <w:tcW w:w="2159" w:type="dxa"/>
          </w:tcPr>
          <w:p>
            <w:pPr>
              <w:widowControl/>
              <w:spacing w:line="440" w:lineRule="exact"/>
              <w:jc w:val="center"/>
              <w:rPr>
                <w:rFonts w:hint="eastAsia" w:ascii="宋体" w:hAnsi="宋体" w:eastAsia="宋体" w:cs="宋体"/>
                <w:b/>
                <w:bCs/>
                <w:szCs w:val="28"/>
              </w:rPr>
            </w:pPr>
            <w:r>
              <w:rPr>
                <w:rFonts w:hint="eastAsia" w:ascii="宋体" w:hAnsi="宋体" w:eastAsia="宋体" w:cs="宋体"/>
                <w:b/>
                <w:bCs/>
                <w:szCs w:val="28"/>
              </w:rPr>
              <w:t>测评单位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0"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一、党建与思想政治相关工作</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1.落实党风廉政建设主体责任、监督责任和领导干部“一岗双责”，有效防止违规违纪行为发生</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2.支持巡视巡察工作，自觉接受巡察监督，做好巡察整改落实</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3.加强领导班子与干部队伍建设，落实学院议事规则，严格执行“三重一大”决策程序，《合肥工业大学学院党组织作用发挥工程实施方案》落实情况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4.《中国共产党普通高等学校基层组织工作条例》学习贯彻落实情况，基层党组织标准化建设和党建工作重点任务落实情况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5.“党建示范创建和质量创优”推进情况，标杆院系、样板支部、“双带头人”教师党支部书记项目培育创建情况，特色党支部建设，领导干部联系支部工作落实情况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6.党员发展计划落实情况，党员发展材料和程序规范情况，入党积极分子、发展对象、党员教育管理工作，党员组织关系转接及党员档案材料核查情况等</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7.党史学习教育开展情况，学习宣传贯彻习近平新时代中国特色社会主义思想情况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8.贯彻落实意识形态工作责任制，“一会一报”落实情况，严格管控所属各类阵地情况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9.重视并积极参与宣传工作，加强新闻宣传、理论宣传及网络宣传的工作举措，在壮大主流舆论，讲好工大故事方面的实际成效</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10. 重视统一战线工作，积极贯彻落实新修订的《中国共产党统一战线工作条例》，建立并认真落实领导班子成员联系本单位党外代表人士和民主党派成员制度以及参与本单位重大问题协商制度</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11.做好对离退休人员的走访慰问、困难帮扶和关心下一代等方面工作</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12.坚持教代会年会制度，发挥二级教代会作用，全面履行维护、参与、建设、教育职能，不断增强工会组织的政治性、先进性、群众性，竭诚服务广大职工</w:t>
            </w:r>
          </w:p>
        </w:tc>
        <w:tc>
          <w:tcPr>
            <w:tcW w:w="2159" w:type="dxa"/>
            <w:vAlign w:val="center"/>
          </w:tcPr>
          <w:p>
            <w:pPr>
              <w:widowControl/>
              <w:spacing w:line="40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牵头单位：</w:t>
            </w:r>
          </w:p>
          <w:p>
            <w:pPr>
              <w:widowControl/>
              <w:spacing w:line="40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党委组织部</w:t>
            </w:r>
          </w:p>
          <w:p>
            <w:pPr>
              <w:widowControl/>
              <w:spacing w:line="400" w:lineRule="exact"/>
              <w:jc w:val="left"/>
              <w:rPr>
                <w:rFonts w:ascii="仿宋_GB2312" w:hAnsi="仿宋_GB2312" w:eastAsia="仿宋_GB2312" w:cs="仿宋_GB2312"/>
                <w:b/>
                <w:bCs/>
                <w:kern w:val="0"/>
                <w:szCs w:val="28"/>
              </w:rPr>
            </w:pPr>
          </w:p>
          <w:p>
            <w:pPr>
              <w:widowControl/>
              <w:spacing w:line="400" w:lineRule="exact"/>
              <w:jc w:val="left"/>
              <w:rPr>
                <w:rFonts w:hint="eastAsia" w:ascii="仿宋_GB2312" w:hAnsi="仿宋_GB2312" w:eastAsia="仿宋_GB2312" w:cs="仿宋_GB2312"/>
                <w:b w:val="0"/>
                <w:bCs w:val="0"/>
                <w:kern w:val="0"/>
                <w:szCs w:val="28"/>
                <w:lang w:val="en-US" w:eastAsia="zh-CN"/>
              </w:rPr>
            </w:pPr>
            <w:r>
              <w:rPr>
                <w:rFonts w:hint="eastAsia" w:ascii="仿宋_GB2312" w:hAnsi="仿宋_GB2312" w:eastAsia="仿宋_GB2312" w:cs="仿宋_GB2312"/>
                <w:b w:val="0"/>
                <w:bCs w:val="0"/>
                <w:kern w:val="0"/>
                <w:szCs w:val="28"/>
                <w:lang w:val="en-US" w:eastAsia="zh-CN"/>
              </w:rPr>
              <w:t>参与单位：</w:t>
            </w:r>
          </w:p>
          <w:p>
            <w:pPr>
              <w:widowControl/>
              <w:spacing w:line="400" w:lineRule="exact"/>
              <w:jc w:val="left"/>
              <w:rPr>
                <w:rFonts w:ascii="仿宋" w:hAnsi="仿宋" w:eastAsia="仿宋" w:cs="Times New Roman"/>
                <w:kern w:val="0"/>
                <w:szCs w:val="28"/>
              </w:rPr>
            </w:pPr>
            <w:r>
              <w:rPr>
                <w:rFonts w:hint="eastAsia" w:ascii="仿宋_GB2312" w:hAnsi="仿宋_GB2312" w:eastAsia="仿宋_GB2312" w:cs="仿宋_GB2312"/>
                <w:kern w:val="0"/>
                <w:szCs w:val="28"/>
              </w:rPr>
              <w:t>纪委办公室、监察处、党委巡察工作办公室、党委宣传部、党委统战部、党委离退休工作部（处）、工会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70"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二、教学工作</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1.招生宣传的组织与效果</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2.教学计划制定的规范性</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3.教学过程与2015/2019版教学计划符合度</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4.按时落实教学执行计划（含宣城校区）</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5.按时准确提交成绩</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6.国家级一流课程组织申报</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7.创新创业类课程开设情况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8.省部级以上学科竞赛中每百名学生获奖率</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9.组织教师培训活动（包括人数及成效）</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10.及时上报教学有关数据信息</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11.本科教育教学特色与亮点工作</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12.负面清单：教学事故</w:t>
            </w:r>
          </w:p>
        </w:tc>
        <w:tc>
          <w:tcPr>
            <w:tcW w:w="2159" w:type="dxa"/>
            <w:vAlign w:val="center"/>
          </w:tcPr>
          <w:p>
            <w:pPr>
              <w:widowControl/>
              <w:spacing w:line="40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牵头单位：</w:t>
            </w:r>
          </w:p>
          <w:p>
            <w:pPr>
              <w:widowControl/>
              <w:spacing w:line="440" w:lineRule="exact"/>
              <w:jc w:val="left"/>
              <w:rPr>
                <w:rFonts w:hint="eastAsia" w:ascii="仿宋_GB2312" w:hAnsi="仿宋_GB2312" w:eastAsia="仿宋_GB2312" w:cs="仿宋_GB2312"/>
                <w:b/>
                <w:bCs/>
                <w:kern w:val="0"/>
                <w:szCs w:val="28"/>
                <w:lang w:val="en-US" w:eastAsia="zh-CN"/>
              </w:rPr>
            </w:pPr>
            <w:r>
              <w:rPr>
                <w:rFonts w:hint="eastAsia" w:ascii="仿宋_GB2312" w:hAnsi="仿宋_GB2312" w:eastAsia="仿宋_GB2312" w:cs="仿宋_GB2312"/>
                <w:b/>
                <w:bCs/>
                <w:kern w:val="0"/>
                <w:szCs w:val="28"/>
                <w:lang w:val="en-US" w:eastAsia="zh-CN"/>
              </w:rPr>
              <w:t>本科生院</w:t>
            </w:r>
          </w:p>
          <w:p>
            <w:pPr>
              <w:widowControl/>
              <w:spacing w:line="440" w:lineRule="exact"/>
              <w:jc w:val="left"/>
              <w:rPr>
                <w:rFonts w:hint="eastAsia" w:ascii="仿宋_GB2312" w:hAnsi="仿宋_GB2312" w:eastAsia="仿宋_GB2312" w:cs="仿宋_GB2312"/>
                <w:b/>
                <w:bCs/>
                <w:kern w:val="0"/>
                <w:szCs w:val="28"/>
                <w:lang w:val="en-US" w:eastAsia="zh-CN"/>
              </w:rPr>
            </w:pPr>
          </w:p>
          <w:p>
            <w:pPr>
              <w:widowControl/>
              <w:spacing w:line="440" w:lineRule="exact"/>
              <w:jc w:val="left"/>
              <w:rPr>
                <w:rFonts w:hint="eastAsia" w:ascii="仿宋_GB2312" w:hAnsi="仿宋_GB2312" w:eastAsia="仿宋_GB2312" w:cs="仿宋_GB2312"/>
                <w:b w:val="0"/>
                <w:bCs w:val="0"/>
                <w:kern w:val="0"/>
                <w:szCs w:val="28"/>
                <w:lang w:val="en-US" w:eastAsia="zh-CN"/>
              </w:rPr>
            </w:pPr>
            <w:r>
              <w:rPr>
                <w:rFonts w:hint="eastAsia" w:ascii="仿宋_GB2312" w:hAnsi="仿宋_GB2312" w:eastAsia="仿宋_GB2312" w:cs="仿宋_GB2312"/>
                <w:b w:val="0"/>
                <w:bCs w:val="0"/>
                <w:kern w:val="0"/>
                <w:szCs w:val="28"/>
                <w:lang w:val="en-US" w:eastAsia="zh-CN"/>
              </w:rPr>
              <w:t>参与单位：</w:t>
            </w:r>
          </w:p>
          <w:p>
            <w:pPr>
              <w:widowControl/>
              <w:spacing w:line="440" w:lineRule="exact"/>
              <w:jc w:val="left"/>
              <w:rPr>
                <w:rFonts w:ascii="仿宋" w:hAnsi="仿宋" w:eastAsia="仿宋" w:cs="Times New Roman"/>
                <w:kern w:val="0"/>
                <w:szCs w:val="28"/>
              </w:rPr>
            </w:pPr>
            <w:r>
              <w:rPr>
                <w:rFonts w:hint="eastAsia" w:ascii="仿宋_GB2312" w:hAnsi="仿宋_GB2312" w:eastAsia="仿宋_GB2312" w:cs="仿宋_GB2312"/>
                <w:b w:val="0"/>
                <w:bCs w:val="0"/>
                <w:kern w:val="0"/>
                <w:szCs w:val="28"/>
                <w:lang w:val="en-US" w:eastAsia="zh-CN"/>
              </w:rPr>
              <w:t>本科教学指导委员会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60"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三、科研工作</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color w:val="auto"/>
                <w:kern w:val="0"/>
                <w:sz w:val="28"/>
                <w:szCs w:val="28"/>
              </w:rPr>
            </w:pPr>
            <w:r>
              <w:rPr>
                <w:rFonts w:hint="eastAsia" w:ascii="仿宋_GB2312" w:hAnsi="仿宋_GB2312" w:eastAsia="仿宋_GB2312" w:cs="仿宋_GB2312"/>
                <w:b w:val="0"/>
                <w:bCs w:val="0"/>
                <w:color w:val="auto"/>
                <w:kern w:val="0"/>
                <w:sz w:val="28"/>
                <w:szCs w:val="28"/>
              </w:rPr>
              <w:t>1.科研基础管理及科研持续发展能力指标，主要包括：科研经费、论文、发明专利、省部级以上奖励、智库类评价、成果转化等</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color w:val="auto"/>
                <w:kern w:val="0"/>
                <w:sz w:val="28"/>
                <w:szCs w:val="28"/>
              </w:rPr>
            </w:pPr>
            <w:r>
              <w:rPr>
                <w:rFonts w:hint="eastAsia" w:ascii="仿宋_GB2312" w:hAnsi="仿宋_GB2312" w:eastAsia="仿宋_GB2312" w:cs="仿宋_GB2312"/>
                <w:b w:val="0"/>
                <w:bCs w:val="0"/>
                <w:color w:val="auto"/>
                <w:kern w:val="0"/>
                <w:sz w:val="28"/>
                <w:szCs w:val="28"/>
              </w:rPr>
              <w:t>2.科研组织策划能力指标，主要包括：</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color w:val="auto"/>
                <w:kern w:val="0"/>
                <w:sz w:val="28"/>
                <w:szCs w:val="28"/>
              </w:rPr>
            </w:pPr>
            <w:r>
              <w:rPr>
                <w:rFonts w:hint="eastAsia" w:ascii="仿宋_GB2312" w:hAnsi="仿宋_GB2312" w:eastAsia="仿宋_GB2312" w:cs="仿宋_GB2312"/>
                <w:b w:val="0"/>
                <w:bCs w:val="0"/>
                <w:color w:val="auto"/>
                <w:kern w:val="0"/>
                <w:sz w:val="28"/>
                <w:szCs w:val="28"/>
              </w:rPr>
              <w:t>（1）动员组织申报国家级、省部级重点重大项目情况，主要包括：国家自然科学基金项目、国家重点研发计划项目、国家社科基金项目、国家艺术基金项目、国防科研重点项目等</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color w:val="auto"/>
                <w:kern w:val="0"/>
                <w:sz w:val="28"/>
                <w:szCs w:val="28"/>
              </w:rPr>
              <w:t>（2）科研平台情况，主要包括：省部级以上重点实验室、工程研究中心，人文社科研究基地及智库建设等情况</w:t>
            </w:r>
          </w:p>
        </w:tc>
        <w:tc>
          <w:tcPr>
            <w:tcW w:w="2159" w:type="dxa"/>
            <w:vAlign w:val="center"/>
          </w:tcPr>
          <w:p>
            <w:pPr>
              <w:widowControl/>
              <w:spacing w:line="320" w:lineRule="exact"/>
              <w:jc w:val="left"/>
              <w:rPr>
                <w:rFonts w:ascii="仿宋_GB2312" w:hAnsi="仿宋_GB2312" w:eastAsia="仿宋_GB2312" w:cs="仿宋_GB2312"/>
                <w:b/>
                <w:bCs/>
                <w:color w:val="auto"/>
                <w:kern w:val="0"/>
                <w:szCs w:val="28"/>
              </w:rPr>
            </w:pPr>
            <w:r>
              <w:rPr>
                <w:rFonts w:hint="eastAsia" w:ascii="仿宋_GB2312" w:hAnsi="仿宋_GB2312" w:eastAsia="仿宋_GB2312" w:cs="仿宋_GB2312"/>
                <w:b/>
                <w:bCs/>
                <w:color w:val="auto"/>
                <w:kern w:val="0"/>
                <w:szCs w:val="28"/>
              </w:rPr>
              <w:t>牵头单位：</w:t>
            </w:r>
          </w:p>
          <w:p>
            <w:pPr>
              <w:widowControl/>
              <w:spacing w:line="320" w:lineRule="exact"/>
              <w:jc w:val="left"/>
              <w:rPr>
                <w:rFonts w:hint="eastAsia" w:ascii="仿宋_GB2312" w:hAnsi="仿宋_GB2312" w:eastAsia="仿宋_GB2312" w:cs="仿宋_GB2312"/>
                <w:b/>
                <w:bCs/>
                <w:color w:val="auto"/>
                <w:kern w:val="0"/>
                <w:szCs w:val="28"/>
              </w:rPr>
            </w:pPr>
            <w:r>
              <w:rPr>
                <w:rFonts w:hint="eastAsia" w:ascii="仿宋_GB2312" w:hAnsi="仿宋_GB2312" w:eastAsia="仿宋_GB2312" w:cs="仿宋_GB2312"/>
                <w:b/>
                <w:bCs/>
                <w:color w:val="auto"/>
                <w:kern w:val="0"/>
                <w:szCs w:val="28"/>
              </w:rPr>
              <w:t>科研院</w:t>
            </w:r>
          </w:p>
          <w:p>
            <w:pPr>
              <w:widowControl/>
              <w:spacing w:line="320" w:lineRule="exact"/>
              <w:jc w:val="left"/>
              <w:rPr>
                <w:rFonts w:hint="eastAsia" w:ascii="仿宋_GB2312" w:hAnsi="仿宋_GB2312" w:eastAsia="仿宋_GB2312" w:cs="仿宋_GB2312"/>
                <w:b/>
                <w:bCs/>
                <w:color w:val="auto"/>
                <w:kern w:val="0"/>
                <w:szCs w:val="28"/>
              </w:rPr>
            </w:pPr>
          </w:p>
          <w:p>
            <w:pPr>
              <w:widowControl/>
              <w:spacing w:line="400" w:lineRule="exact"/>
              <w:jc w:val="left"/>
              <w:rPr>
                <w:rFonts w:hint="eastAsia" w:ascii="仿宋_GB2312" w:hAnsi="仿宋_GB2312" w:eastAsia="仿宋_GB2312" w:cs="仿宋_GB2312"/>
                <w:b w:val="0"/>
                <w:bCs w:val="0"/>
                <w:kern w:val="0"/>
                <w:szCs w:val="28"/>
                <w:lang w:val="en-US" w:eastAsia="zh-CN"/>
              </w:rPr>
            </w:pPr>
            <w:r>
              <w:rPr>
                <w:rFonts w:hint="eastAsia" w:ascii="仿宋_GB2312" w:hAnsi="仿宋_GB2312" w:eastAsia="仿宋_GB2312" w:cs="仿宋_GB2312"/>
                <w:b w:val="0"/>
                <w:bCs w:val="0"/>
                <w:kern w:val="0"/>
                <w:szCs w:val="28"/>
                <w:lang w:val="en-US" w:eastAsia="zh-CN"/>
              </w:rPr>
              <w:t>参与单位：</w:t>
            </w:r>
          </w:p>
          <w:p>
            <w:pPr>
              <w:widowControl/>
              <w:spacing w:line="440" w:lineRule="exact"/>
              <w:jc w:val="left"/>
              <w:rPr>
                <w:rFonts w:ascii="仿宋" w:hAnsi="仿宋" w:eastAsia="仿宋" w:cs="Times New Roman"/>
                <w:kern w:val="0"/>
                <w:szCs w:val="28"/>
              </w:rPr>
            </w:pPr>
            <w:r>
              <w:rPr>
                <w:rFonts w:hint="eastAsia" w:ascii="仿宋_GB2312" w:hAnsi="仿宋_GB2312" w:eastAsia="仿宋_GB2312" w:cs="仿宋_GB2312"/>
                <w:color w:val="auto"/>
                <w:kern w:val="0"/>
                <w:szCs w:val="28"/>
              </w:rPr>
              <w:t>学术委员会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5"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四、学科建设与研究生工作</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1.全日制研究生招生质量（211以上学校硕士生生源录取比例及提高率、</w:t>
            </w:r>
            <w:r>
              <w:rPr>
                <w:rFonts w:hint="eastAsia" w:ascii="仿宋_GB2312" w:hAnsi="仿宋_GB2312" w:eastAsia="仿宋_GB2312" w:cs="仿宋_GB2312"/>
                <w:b w:val="0"/>
                <w:bCs w:val="0"/>
                <w:kern w:val="0"/>
                <w:sz w:val="28"/>
                <w:szCs w:val="28"/>
                <w:lang w:eastAsia="zh-CN"/>
              </w:rPr>
              <w:t>接收推免生人数及提高率、</w:t>
            </w:r>
            <w:r>
              <w:rPr>
                <w:rFonts w:hint="eastAsia" w:ascii="仿宋_GB2312" w:hAnsi="仿宋_GB2312" w:eastAsia="仿宋_GB2312" w:cs="仿宋_GB2312"/>
                <w:b w:val="0"/>
                <w:bCs w:val="0"/>
                <w:kern w:val="0"/>
                <w:sz w:val="28"/>
                <w:szCs w:val="28"/>
              </w:rPr>
              <w:t>硕博连读生及提前攻博学生的比例及提高率）</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2.非全日制研究生招生数量</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lang w:val="en-US" w:eastAsia="zh-CN"/>
              </w:rPr>
            </w:pPr>
            <w:r>
              <w:rPr>
                <w:rFonts w:hint="eastAsia" w:ascii="仿宋_GB2312" w:hAnsi="仿宋_GB2312" w:eastAsia="仿宋_GB2312" w:cs="仿宋_GB2312"/>
                <w:b w:val="0"/>
                <w:bCs w:val="0"/>
                <w:kern w:val="0"/>
                <w:sz w:val="28"/>
                <w:szCs w:val="28"/>
                <w:lang w:val="en-US" w:eastAsia="zh-CN"/>
              </w:rPr>
              <w:t>3.研究生联合培养基地建设成效</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lang w:val="en-US" w:eastAsia="zh-CN"/>
              </w:rPr>
              <w:t>4</w:t>
            </w:r>
            <w:r>
              <w:rPr>
                <w:rFonts w:hint="eastAsia" w:ascii="仿宋_GB2312" w:hAnsi="仿宋_GB2312" w:eastAsia="仿宋_GB2312" w:cs="仿宋_GB2312"/>
                <w:b w:val="0"/>
                <w:bCs w:val="0"/>
                <w:kern w:val="0"/>
                <w:sz w:val="28"/>
                <w:szCs w:val="28"/>
              </w:rPr>
              <w:t>.研究生培养过程质量</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lang w:val="en-US" w:eastAsia="zh-CN"/>
              </w:rPr>
              <w:t>5</w:t>
            </w:r>
            <w:r>
              <w:rPr>
                <w:rFonts w:hint="eastAsia" w:ascii="仿宋_GB2312" w:hAnsi="仿宋_GB2312" w:eastAsia="仿宋_GB2312" w:cs="仿宋_GB2312"/>
                <w:b w:val="0"/>
                <w:bCs w:val="0"/>
                <w:kern w:val="0"/>
                <w:sz w:val="28"/>
                <w:szCs w:val="28"/>
              </w:rPr>
              <w:t>.研究生毕业论文评审中优良率（75</w:t>
            </w:r>
            <w:r>
              <w:rPr>
                <w:rFonts w:hint="eastAsia" w:ascii="仿宋_GB2312" w:hAnsi="仿宋_GB2312" w:eastAsia="仿宋_GB2312" w:cs="仿宋_GB2312"/>
                <w:b w:val="0"/>
                <w:bCs w:val="0"/>
                <w:kern w:val="0"/>
                <w:sz w:val="28"/>
                <w:szCs w:val="28"/>
                <w:lang w:eastAsia="zh-CN"/>
              </w:rPr>
              <w:t>分</w:t>
            </w:r>
            <w:r>
              <w:rPr>
                <w:rFonts w:hint="eastAsia" w:ascii="仿宋_GB2312" w:hAnsi="仿宋_GB2312" w:eastAsia="仿宋_GB2312" w:cs="仿宋_GB2312"/>
                <w:b w:val="0"/>
                <w:bCs w:val="0"/>
                <w:kern w:val="0"/>
                <w:sz w:val="28"/>
                <w:szCs w:val="28"/>
              </w:rPr>
              <w:t>以上）</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lang w:eastAsia="zh-CN"/>
              </w:rPr>
            </w:pPr>
            <w:r>
              <w:rPr>
                <w:rFonts w:hint="eastAsia" w:ascii="仿宋_GB2312" w:hAnsi="仿宋_GB2312" w:eastAsia="仿宋_GB2312" w:cs="仿宋_GB2312"/>
                <w:b w:val="0"/>
                <w:bCs w:val="0"/>
                <w:kern w:val="0"/>
                <w:sz w:val="28"/>
                <w:szCs w:val="28"/>
                <w:lang w:val="en-US" w:eastAsia="zh-CN"/>
              </w:rPr>
              <w:t>6</w:t>
            </w:r>
            <w:r>
              <w:rPr>
                <w:rFonts w:hint="eastAsia" w:ascii="仿宋_GB2312" w:hAnsi="仿宋_GB2312" w:eastAsia="仿宋_GB2312" w:cs="仿宋_GB2312"/>
                <w:b w:val="0"/>
                <w:bCs w:val="0"/>
                <w:kern w:val="0"/>
                <w:sz w:val="28"/>
                <w:szCs w:val="28"/>
              </w:rPr>
              <w:t>.学科建设组织与成效</w:t>
            </w:r>
            <w:r>
              <w:rPr>
                <w:rFonts w:hint="eastAsia" w:ascii="仿宋_GB2312" w:hAnsi="仿宋_GB2312" w:eastAsia="仿宋_GB2312" w:cs="仿宋_GB2312"/>
                <w:b w:val="0"/>
                <w:bCs w:val="0"/>
                <w:kern w:val="0"/>
                <w:sz w:val="28"/>
                <w:szCs w:val="28"/>
                <w:lang w:eastAsia="zh-CN"/>
              </w:rPr>
              <w:t>、学位点申报与建设</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lang w:val="en-US" w:eastAsia="zh-CN"/>
              </w:rPr>
              <w:t>7</w:t>
            </w:r>
            <w:r>
              <w:rPr>
                <w:rFonts w:hint="eastAsia" w:ascii="仿宋_GB2312" w:hAnsi="仿宋_GB2312" w:eastAsia="仿宋_GB2312" w:cs="仿宋_GB2312"/>
                <w:b w:val="0"/>
                <w:bCs w:val="0"/>
                <w:kern w:val="0"/>
                <w:sz w:val="28"/>
                <w:szCs w:val="28"/>
              </w:rPr>
              <w:t>.研究生导师相关工作</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lang w:val="en-US" w:eastAsia="zh-CN"/>
              </w:rPr>
              <w:t>8</w:t>
            </w:r>
            <w:r>
              <w:rPr>
                <w:rFonts w:hint="eastAsia" w:ascii="仿宋_GB2312" w:hAnsi="仿宋_GB2312" w:eastAsia="仿宋_GB2312" w:cs="仿宋_GB2312"/>
                <w:b w:val="0"/>
                <w:bCs w:val="0"/>
                <w:kern w:val="0"/>
                <w:sz w:val="28"/>
                <w:szCs w:val="28"/>
              </w:rPr>
              <w:t>.负面清单：在研究生招生、培养、学位管理、学科建设中出现重大失误</w:t>
            </w:r>
          </w:p>
        </w:tc>
        <w:tc>
          <w:tcPr>
            <w:tcW w:w="2159" w:type="dxa"/>
            <w:vAlign w:val="center"/>
          </w:tcPr>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b/>
                <w:bCs/>
                <w:kern w:val="0"/>
                <w:sz w:val="28"/>
                <w:szCs w:val="28"/>
                <w:lang w:val="en-US" w:eastAsia="zh-CN"/>
              </w:rPr>
            </w:pPr>
            <w:r>
              <w:rPr>
                <w:rFonts w:hint="eastAsia" w:ascii="仿宋_GB2312" w:hAnsi="仿宋_GB2312" w:eastAsia="仿宋_GB2312" w:cs="仿宋_GB2312"/>
                <w:b/>
                <w:bCs/>
                <w:kern w:val="0"/>
                <w:sz w:val="28"/>
                <w:szCs w:val="28"/>
                <w:lang w:val="en-US" w:eastAsia="zh-CN"/>
              </w:rPr>
              <w:t>牵头单位：</w:t>
            </w:r>
          </w:p>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研究生院</w:t>
            </w:r>
          </w:p>
          <w:p>
            <w:pPr>
              <w:keepNext w:val="0"/>
              <w:keepLines w:val="0"/>
              <w:pageBreakBefore w:val="0"/>
              <w:widowControl/>
              <w:kinsoku/>
              <w:wordWrap/>
              <w:overflowPunct/>
              <w:topLinePunct w:val="0"/>
              <w:autoSpaceDE/>
              <w:autoSpaceDN/>
              <w:bidi w:val="0"/>
              <w:adjustRightInd/>
              <w:snapToGrid/>
              <w:spacing w:line="320" w:lineRule="exact"/>
              <w:jc w:val="left"/>
              <w:textAlignment w:val="auto"/>
              <w:rPr>
                <w:rFonts w:hint="eastAsia" w:ascii="仿宋_GB2312" w:hAnsi="仿宋_GB2312" w:eastAsia="仿宋_GB2312" w:cs="仿宋_GB2312"/>
                <w:b/>
                <w:bCs/>
                <w:kern w:val="0"/>
                <w:sz w:val="28"/>
                <w:szCs w:val="28"/>
              </w:rPr>
            </w:pPr>
          </w:p>
          <w:p>
            <w:pPr>
              <w:widowControl/>
              <w:spacing w:line="400" w:lineRule="exact"/>
              <w:jc w:val="left"/>
              <w:rPr>
                <w:rFonts w:hint="eastAsia" w:ascii="仿宋_GB2312" w:hAnsi="仿宋_GB2312" w:eastAsia="仿宋_GB2312" w:cs="仿宋_GB2312"/>
                <w:b w:val="0"/>
                <w:bCs w:val="0"/>
                <w:kern w:val="0"/>
                <w:szCs w:val="28"/>
                <w:lang w:val="en-US" w:eastAsia="zh-CN"/>
              </w:rPr>
            </w:pPr>
            <w:r>
              <w:rPr>
                <w:rFonts w:hint="eastAsia" w:ascii="仿宋_GB2312" w:hAnsi="仿宋_GB2312" w:eastAsia="仿宋_GB2312" w:cs="仿宋_GB2312"/>
                <w:b w:val="0"/>
                <w:bCs w:val="0"/>
                <w:kern w:val="0"/>
                <w:szCs w:val="28"/>
                <w:lang w:val="en-US" w:eastAsia="zh-CN"/>
              </w:rPr>
              <w:t>参与单位：</w:t>
            </w:r>
          </w:p>
          <w:p>
            <w:pPr>
              <w:pStyle w:val="7"/>
              <w:widowControl/>
              <w:spacing w:line="440" w:lineRule="exact"/>
              <w:ind w:firstLine="0" w:firstLineChars="0"/>
              <w:jc w:val="left"/>
              <w:rPr>
                <w:rFonts w:ascii="仿宋" w:hAnsi="仿宋" w:eastAsia="仿宋" w:cs="Times New Roman"/>
                <w:kern w:val="0"/>
                <w:szCs w:val="28"/>
              </w:rPr>
            </w:pPr>
            <w:r>
              <w:rPr>
                <w:rFonts w:hint="eastAsia" w:ascii="仿宋_GB2312" w:hAnsi="仿宋_GB2312" w:eastAsia="仿宋_GB2312" w:cs="仿宋_GB2312"/>
                <w:kern w:val="0"/>
                <w:sz w:val="28"/>
                <w:szCs w:val="28"/>
              </w:rPr>
              <w:t>学术委员会</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30" w:hRule="atLeast"/>
          <w:jc w:val="center"/>
        </w:trPr>
        <w:tc>
          <w:tcPr>
            <w:tcW w:w="2149" w:type="dxa"/>
            <w:vAlign w:val="center"/>
          </w:tcPr>
          <w:p>
            <w:pPr>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五、人才与师资工作</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1.高层次人才</w:t>
            </w:r>
            <w:r>
              <w:rPr>
                <w:rFonts w:hint="eastAsia" w:ascii="仿宋_GB2312" w:hAnsi="仿宋_GB2312" w:eastAsia="仿宋_GB2312" w:cs="仿宋_GB2312"/>
                <w:b w:val="0"/>
                <w:bCs w:val="0"/>
                <w:kern w:val="0"/>
                <w:sz w:val="28"/>
                <w:szCs w:val="28"/>
                <w:lang w:val="en-US" w:eastAsia="zh-CN"/>
              </w:rPr>
              <w:t>引育</w:t>
            </w:r>
            <w:r>
              <w:rPr>
                <w:rFonts w:hint="eastAsia" w:ascii="仿宋_GB2312" w:hAnsi="仿宋_GB2312" w:eastAsia="仿宋_GB2312" w:cs="仿宋_GB2312"/>
                <w:b w:val="0"/>
                <w:bCs w:val="0"/>
                <w:kern w:val="0"/>
                <w:sz w:val="28"/>
                <w:szCs w:val="28"/>
              </w:rPr>
              <w:t>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2.师资队伍建设措施与效果（青年教师引进与培养情况）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lang w:val="en-US" w:eastAsia="zh-CN"/>
              </w:rPr>
              <w:t>3.负面清单：本单位人员存在师德师风违规行为</w:t>
            </w:r>
          </w:p>
        </w:tc>
        <w:tc>
          <w:tcPr>
            <w:tcW w:w="2159" w:type="dxa"/>
            <w:vAlign w:val="center"/>
          </w:tcPr>
          <w:p>
            <w:pPr>
              <w:widowControl/>
              <w:spacing w:line="440" w:lineRule="exact"/>
              <w:jc w:val="left"/>
              <w:rPr>
                <w:rFonts w:hint="default" w:ascii="仿宋" w:hAnsi="仿宋" w:eastAsia="仿宋" w:cs="Times New Roman"/>
                <w:kern w:val="0"/>
                <w:szCs w:val="28"/>
                <w:lang w:val="en-US" w:eastAsia="zh-CN"/>
              </w:rPr>
            </w:pPr>
            <w:r>
              <w:rPr>
                <w:rFonts w:hint="eastAsia" w:ascii="仿宋" w:hAnsi="仿宋" w:eastAsia="仿宋" w:cs="仿宋"/>
                <w:b/>
                <w:bCs/>
                <w:kern w:val="0"/>
                <w:szCs w:val="28"/>
                <w:lang w:val="en-US" w:eastAsia="zh-CN"/>
              </w:rPr>
              <w:t>牵头单位：党委教师工作部、人事处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40" w:hRule="atLeast"/>
          <w:jc w:val="center"/>
        </w:trPr>
        <w:tc>
          <w:tcPr>
            <w:tcW w:w="2149" w:type="dxa"/>
            <w:vAlign w:val="center"/>
          </w:tcPr>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六、学生工作与共青团工作</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1.学生党建和思政教育组织开展情况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2.学生管理服务实施情况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3.心理健康教育组织实施情况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4.学生资助服务状况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5.研究生教育管理组织实施情况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6.共青团工作组织开展情况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7.学生就业服务组织实施及成果成效</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8.学生工作队伍建设情况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9.学生工作年度重点任务执行情况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10.学生工作特色和亮点</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11.负面清单：重大责任事故</w:t>
            </w:r>
          </w:p>
        </w:tc>
        <w:tc>
          <w:tcPr>
            <w:tcW w:w="2159" w:type="dxa"/>
            <w:vAlign w:val="center"/>
          </w:tcPr>
          <w:p>
            <w:pPr>
              <w:widowControl/>
              <w:spacing w:line="32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牵头单位：</w:t>
            </w:r>
          </w:p>
          <w:p>
            <w:pPr>
              <w:widowControl/>
              <w:spacing w:line="32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党委学生工作部（处）</w:t>
            </w:r>
          </w:p>
          <w:p>
            <w:pPr>
              <w:widowControl/>
              <w:spacing w:line="320" w:lineRule="exact"/>
              <w:jc w:val="left"/>
              <w:rPr>
                <w:rFonts w:ascii="仿宋_GB2312" w:hAnsi="仿宋_GB2312" w:eastAsia="仿宋_GB2312" w:cs="仿宋_GB2312"/>
                <w:kern w:val="0"/>
                <w:szCs w:val="28"/>
              </w:rPr>
            </w:pPr>
          </w:p>
          <w:p>
            <w:pPr>
              <w:widowControl/>
              <w:spacing w:line="320" w:lineRule="exact"/>
              <w:jc w:val="left"/>
              <w:rPr>
                <w:rFonts w:ascii="仿宋_GB2312" w:hAnsi="仿宋_GB2312" w:eastAsia="仿宋_GB2312" w:cs="仿宋_GB2312"/>
                <w:kern w:val="0"/>
                <w:szCs w:val="28"/>
              </w:rPr>
            </w:pPr>
            <w:r>
              <w:rPr>
                <w:rFonts w:hint="eastAsia" w:ascii="仿宋_GB2312" w:hAnsi="仿宋_GB2312" w:eastAsia="仿宋_GB2312" w:cs="仿宋_GB2312"/>
                <w:kern w:val="0"/>
                <w:szCs w:val="28"/>
              </w:rPr>
              <w:t>参与单位：</w:t>
            </w:r>
          </w:p>
          <w:p>
            <w:pPr>
              <w:widowControl/>
              <w:spacing w:line="440" w:lineRule="exact"/>
              <w:jc w:val="left"/>
              <w:rPr>
                <w:rFonts w:ascii="仿宋" w:hAnsi="仿宋" w:eastAsia="仿宋" w:cs="Times New Roman"/>
                <w:kern w:val="0"/>
                <w:szCs w:val="28"/>
              </w:rPr>
            </w:pPr>
            <w:r>
              <w:rPr>
                <w:rFonts w:hint="eastAsia" w:ascii="仿宋_GB2312" w:hAnsi="仿宋_GB2312" w:eastAsia="仿宋_GB2312" w:cs="仿宋_GB2312"/>
                <w:kern w:val="0"/>
                <w:szCs w:val="28"/>
              </w:rPr>
              <w:t>团委</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0" w:hRule="atLeast"/>
          <w:jc w:val="center"/>
        </w:trPr>
        <w:tc>
          <w:tcPr>
            <w:tcW w:w="2149" w:type="dxa"/>
            <w:vAlign w:val="center"/>
          </w:tcPr>
          <w:p>
            <w:pPr>
              <w:widowControl/>
              <w:spacing w:line="440" w:lineRule="exact"/>
              <w:jc w:val="center"/>
              <w:rPr>
                <w:rFonts w:hint="eastAsia" w:ascii="仿宋" w:hAnsi="仿宋" w:eastAsia="仿宋" w:cs="仿宋"/>
                <w:b/>
                <w:bCs/>
                <w:kern w:val="0"/>
                <w:szCs w:val="28"/>
              </w:rPr>
            </w:pPr>
            <w:r>
              <w:rPr>
                <w:rFonts w:hint="eastAsia" w:ascii="仿宋" w:hAnsi="仿宋" w:eastAsia="仿宋" w:cs="仿宋"/>
                <w:b/>
                <w:bCs/>
                <w:kern w:val="0"/>
                <w:szCs w:val="28"/>
              </w:rPr>
              <w:t>七、国有资产</w:t>
            </w:r>
          </w:p>
          <w:p>
            <w:pPr>
              <w:widowControl/>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管理与财务</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1.资金安全（行政经费合规使用、科研经费诚信使用、专项资金执行进度）</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2.绩效管理（绩效目标设定合理明确性、绩效评价结果应用范围）</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3.创收能力（捐赠收入、事业收入）</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4.资产管理（年度资产盘点的账物相符率、大型仪器设备的利用率、公房的利用率）</w:t>
            </w:r>
          </w:p>
        </w:tc>
        <w:tc>
          <w:tcPr>
            <w:tcW w:w="2159" w:type="dxa"/>
            <w:vAlign w:val="center"/>
          </w:tcPr>
          <w:p>
            <w:pPr>
              <w:widowControl/>
              <w:spacing w:line="32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牵头单位：</w:t>
            </w:r>
          </w:p>
          <w:p>
            <w:pPr>
              <w:widowControl/>
              <w:spacing w:line="32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财务处</w:t>
            </w:r>
          </w:p>
          <w:p>
            <w:pPr>
              <w:widowControl/>
              <w:spacing w:line="320" w:lineRule="exact"/>
              <w:jc w:val="left"/>
              <w:rPr>
                <w:rFonts w:ascii="仿宋_GB2312" w:hAnsi="仿宋_GB2312" w:eastAsia="仿宋_GB2312" w:cs="仿宋_GB2312"/>
                <w:kern w:val="0"/>
                <w:szCs w:val="28"/>
              </w:rPr>
            </w:pPr>
          </w:p>
          <w:p>
            <w:pPr>
              <w:widowControl/>
              <w:spacing w:line="320" w:lineRule="exact"/>
              <w:jc w:val="left"/>
              <w:rPr>
                <w:rFonts w:ascii="仿宋_GB2312" w:hAnsi="仿宋_GB2312" w:eastAsia="仿宋_GB2312" w:cs="仿宋_GB2312"/>
                <w:kern w:val="0"/>
                <w:szCs w:val="28"/>
              </w:rPr>
            </w:pPr>
            <w:r>
              <w:rPr>
                <w:rFonts w:hint="eastAsia" w:ascii="仿宋_GB2312" w:hAnsi="仿宋_GB2312" w:eastAsia="仿宋_GB2312" w:cs="仿宋_GB2312"/>
                <w:kern w:val="0"/>
                <w:szCs w:val="28"/>
              </w:rPr>
              <w:t>参与单位：</w:t>
            </w:r>
          </w:p>
          <w:p>
            <w:pPr>
              <w:widowControl/>
              <w:spacing w:line="440" w:lineRule="exact"/>
              <w:jc w:val="left"/>
              <w:rPr>
                <w:rFonts w:ascii="仿宋" w:hAnsi="仿宋" w:eastAsia="仿宋" w:cs="Times New Roman"/>
                <w:kern w:val="0"/>
                <w:szCs w:val="28"/>
              </w:rPr>
            </w:pPr>
            <w:r>
              <w:rPr>
                <w:rFonts w:hint="eastAsia" w:ascii="仿宋_GB2312" w:hAnsi="仿宋_GB2312" w:eastAsia="仿宋_GB2312" w:cs="仿宋_GB2312"/>
                <w:kern w:val="0"/>
                <w:szCs w:val="28"/>
              </w:rPr>
              <w:t>审计处</w:t>
            </w:r>
            <w:r>
              <w:rPr>
                <w:rFonts w:hint="eastAsia" w:ascii="仿宋_GB2312" w:hAnsi="仿宋_GB2312" w:eastAsia="仿宋_GB2312" w:cs="仿宋_GB2312"/>
                <w:kern w:val="0"/>
                <w:szCs w:val="28"/>
                <w:lang w:eastAsia="zh-CN"/>
              </w:rPr>
              <w:t>、</w:t>
            </w:r>
            <w:r>
              <w:rPr>
                <w:rFonts w:hint="eastAsia" w:ascii="仿宋_GB2312" w:hAnsi="仿宋_GB2312" w:eastAsia="仿宋_GB2312" w:cs="仿宋_GB2312"/>
                <w:color w:val="auto"/>
                <w:kern w:val="0"/>
                <w:szCs w:val="28"/>
                <w:lang w:val="en-US" w:eastAsia="zh-CN"/>
              </w:rPr>
              <w:t>国有资产管理处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35" w:hRule="atLeast"/>
          <w:jc w:val="center"/>
        </w:trPr>
        <w:tc>
          <w:tcPr>
            <w:tcW w:w="2149" w:type="dxa"/>
            <w:vAlign w:val="center"/>
          </w:tcPr>
          <w:p>
            <w:pPr>
              <w:widowControl/>
              <w:spacing w:line="440" w:lineRule="exact"/>
              <w:jc w:val="center"/>
              <w:rPr>
                <w:rFonts w:hint="eastAsia" w:ascii="仿宋_GB2312" w:hAnsi="仿宋_GB2312" w:eastAsia="仿宋_GB2312" w:cs="仿宋_GB2312"/>
                <w:b/>
                <w:bCs/>
                <w:kern w:val="0"/>
                <w:szCs w:val="28"/>
              </w:rPr>
            </w:pPr>
            <w:r>
              <w:rPr>
                <w:rFonts w:hint="eastAsia" w:ascii="仿宋_GB2312" w:hAnsi="仿宋_GB2312" w:eastAsia="仿宋_GB2312" w:cs="仿宋_GB2312"/>
                <w:b/>
                <w:bCs/>
                <w:kern w:val="0"/>
                <w:szCs w:val="28"/>
              </w:rPr>
              <w:t>八、教育对外</w:t>
            </w:r>
          </w:p>
          <w:p>
            <w:pPr>
              <w:widowControl/>
              <w:spacing w:line="440" w:lineRule="exact"/>
              <w:jc w:val="center"/>
              <w:rPr>
                <w:rFonts w:ascii="仿宋" w:hAnsi="仿宋" w:eastAsia="仿宋" w:cs="Times New Roman"/>
                <w:b/>
                <w:bCs/>
                <w:kern w:val="0"/>
                <w:szCs w:val="28"/>
              </w:rPr>
            </w:pPr>
            <w:r>
              <w:rPr>
                <w:rFonts w:hint="eastAsia" w:ascii="仿宋_GB2312" w:hAnsi="仿宋_GB2312" w:eastAsia="仿宋_GB2312" w:cs="仿宋_GB2312"/>
                <w:b/>
                <w:bCs/>
                <w:kern w:val="0"/>
                <w:szCs w:val="28"/>
              </w:rPr>
              <w:t>开放</w:t>
            </w:r>
          </w:p>
        </w:tc>
        <w:tc>
          <w:tcPr>
            <w:tcW w:w="9866" w:type="dxa"/>
            <w:vAlign w:val="center"/>
          </w:tcPr>
          <w:p>
            <w:pPr>
              <w:pStyle w:val="7"/>
              <w:keepNext w:val="0"/>
              <w:keepLines w:val="0"/>
              <w:pageBreakBefore w:val="0"/>
              <w:widowControl/>
              <w:numPr>
                <w:ilvl w:val="0"/>
                <w:numId w:val="1"/>
              </w:numPr>
              <w:kinsoku/>
              <w:wordWrap/>
              <w:overflowPunct/>
              <w:topLinePunct w:val="0"/>
              <w:autoSpaceDE/>
              <w:autoSpaceDN/>
              <w:bidi w:val="0"/>
              <w:adjustRightInd/>
              <w:snapToGrid/>
              <w:spacing w:line="440" w:lineRule="exact"/>
              <w:ind w:firstLineChars="0"/>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国际学术交流与科研合作</w:t>
            </w:r>
          </w:p>
          <w:p>
            <w:pPr>
              <w:keepNext w:val="0"/>
              <w:keepLines w:val="0"/>
              <w:pageBreakBefore w:val="0"/>
              <w:widowControl/>
              <w:kinsoku/>
              <w:wordWrap/>
              <w:overflowPunct/>
              <w:topLinePunct w:val="0"/>
              <w:autoSpaceDE/>
              <w:autoSpaceDN/>
              <w:bidi w:val="0"/>
              <w:adjustRightInd/>
              <w:snapToGrid/>
              <w:spacing w:line="440" w:lineRule="exact"/>
              <w:ind w:firstLine="280" w:firstLineChars="100"/>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（国际学术科研项目和平台、联合实验室建设、国际会议举办、智库建设等）</w:t>
            </w:r>
          </w:p>
          <w:p>
            <w:pPr>
              <w:keepNext w:val="0"/>
              <w:keepLines w:val="0"/>
              <w:pageBreakBefore w:val="0"/>
              <w:widowControl/>
              <w:kinsoku/>
              <w:wordWrap/>
              <w:overflowPunct/>
              <w:topLinePunct w:val="0"/>
              <w:autoSpaceDE/>
              <w:autoSpaceDN/>
              <w:bidi w:val="0"/>
              <w:adjustRightInd/>
              <w:snapToGrid/>
              <w:spacing w:line="440" w:lineRule="exact"/>
              <w:ind w:left="280" w:hanging="280" w:hangingChars="100"/>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2.国际合作项目和平台建设</w:t>
            </w:r>
          </w:p>
          <w:p>
            <w:pPr>
              <w:keepNext w:val="0"/>
              <w:keepLines w:val="0"/>
              <w:pageBreakBefore w:val="0"/>
              <w:widowControl/>
              <w:kinsoku/>
              <w:wordWrap/>
              <w:overflowPunct/>
              <w:topLinePunct w:val="0"/>
              <w:autoSpaceDE/>
              <w:autoSpaceDN/>
              <w:bidi w:val="0"/>
              <w:adjustRightInd/>
              <w:snapToGrid/>
              <w:spacing w:line="440" w:lineRule="exact"/>
              <w:ind w:left="280" w:leftChars="100"/>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（国别和地区研究、国际组织人才培养、高层次人文交流等）</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3.外专引智项目和平台建设</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4.中外合作办学机构或项目、</w:t>
            </w:r>
            <w:r>
              <w:rPr>
                <w:rFonts w:hint="eastAsia" w:ascii="仿宋_GB2312" w:hAnsi="仿宋_GB2312" w:eastAsia="仿宋_GB2312" w:cs="仿宋_GB2312"/>
                <w:b w:val="0"/>
                <w:bCs w:val="0"/>
                <w:color w:val="000000" w:themeColor="text1"/>
                <w:kern w:val="0"/>
                <w:sz w:val="28"/>
                <w:szCs w:val="28"/>
                <w14:textFill>
                  <w14:solidFill>
                    <w14:schemeClr w14:val="tx1"/>
                  </w14:solidFill>
                </w14:textFill>
              </w:rPr>
              <w:t>学生联合培养项目</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 xml:space="preserve">5.外籍教职员工占教职工总人数比例 </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6.具有海外经历的学生占学生总人数比例（含线上）</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7.全英文授课专业建设</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kern w:val="0"/>
                <w:sz w:val="28"/>
                <w:szCs w:val="28"/>
              </w:rPr>
              <w:t>8.负面清单：</w:t>
            </w:r>
            <w:r>
              <w:rPr>
                <w:rFonts w:hint="eastAsia" w:ascii="仿宋_GB2312" w:hAnsi="仿宋_GB2312" w:eastAsia="仿宋_GB2312" w:cs="仿宋_GB2312"/>
                <w:b w:val="0"/>
                <w:bCs w:val="0"/>
                <w:sz w:val="28"/>
                <w:szCs w:val="28"/>
              </w:rPr>
              <w:t>违反外事纪律</w:t>
            </w:r>
          </w:p>
        </w:tc>
        <w:tc>
          <w:tcPr>
            <w:tcW w:w="2159" w:type="dxa"/>
            <w:vAlign w:val="center"/>
          </w:tcPr>
          <w:p>
            <w:pPr>
              <w:widowControl/>
              <w:spacing w:line="32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牵头单位：</w:t>
            </w:r>
          </w:p>
          <w:p>
            <w:pPr>
              <w:widowControl/>
              <w:spacing w:line="320" w:lineRule="exact"/>
              <w:jc w:val="left"/>
              <w:rPr>
                <w:rFonts w:ascii="仿宋_GB2312" w:hAnsi="仿宋_GB2312" w:eastAsia="仿宋_GB2312" w:cs="仿宋_GB2312"/>
                <w:b/>
                <w:bCs/>
                <w:kern w:val="0"/>
                <w:szCs w:val="28"/>
              </w:rPr>
            </w:pPr>
            <w:r>
              <w:rPr>
                <w:rFonts w:hint="eastAsia" w:ascii="仿宋_GB2312" w:hAnsi="仿宋_GB2312" w:eastAsia="仿宋_GB2312" w:cs="仿宋_GB2312"/>
                <w:b/>
                <w:bCs/>
                <w:kern w:val="0"/>
                <w:szCs w:val="28"/>
              </w:rPr>
              <w:t>国际事务处（港澳台事务办公室）</w:t>
            </w:r>
          </w:p>
          <w:p>
            <w:pPr>
              <w:widowControl/>
              <w:spacing w:line="320" w:lineRule="exact"/>
              <w:jc w:val="left"/>
              <w:rPr>
                <w:rFonts w:ascii="仿宋_GB2312" w:hAnsi="仿宋_GB2312" w:eastAsia="仿宋_GB2312" w:cs="仿宋_GB2312"/>
                <w:kern w:val="0"/>
                <w:szCs w:val="28"/>
              </w:rPr>
            </w:pPr>
          </w:p>
          <w:p>
            <w:pPr>
              <w:widowControl/>
              <w:spacing w:line="320" w:lineRule="exact"/>
              <w:jc w:val="left"/>
              <w:rPr>
                <w:rFonts w:ascii="仿宋_GB2312" w:hAnsi="仿宋_GB2312" w:eastAsia="仿宋_GB2312" w:cs="仿宋_GB2312"/>
                <w:kern w:val="0"/>
                <w:szCs w:val="28"/>
              </w:rPr>
            </w:pPr>
            <w:r>
              <w:rPr>
                <w:rFonts w:hint="eastAsia" w:ascii="仿宋_GB2312" w:hAnsi="仿宋_GB2312" w:eastAsia="仿宋_GB2312" w:cs="仿宋_GB2312"/>
                <w:kern w:val="0"/>
                <w:szCs w:val="28"/>
              </w:rPr>
              <w:t>参与单位：</w:t>
            </w:r>
          </w:p>
          <w:p>
            <w:pPr>
              <w:widowControl/>
              <w:spacing w:line="440" w:lineRule="exact"/>
              <w:jc w:val="left"/>
              <w:rPr>
                <w:rFonts w:ascii="仿宋" w:hAnsi="仿宋" w:eastAsia="仿宋" w:cs="Times New Roman"/>
                <w:kern w:val="0"/>
                <w:szCs w:val="28"/>
              </w:rPr>
            </w:pPr>
            <w:r>
              <w:rPr>
                <w:rFonts w:hint="eastAsia" w:ascii="仿宋_GB2312" w:hAnsi="仿宋_GB2312" w:eastAsia="仿宋_GB2312" w:cs="仿宋_GB2312"/>
                <w:kern w:val="0"/>
                <w:szCs w:val="28"/>
              </w:rPr>
              <w:t>国际教育学院</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60" w:hRule="atLeast"/>
          <w:jc w:val="center"/>
        </w:trPr>
        <w:tc>
          <w:tcPr>
            <w:tcW w:w="2149" w:type="dxa"/>
            <w:vAlign w:val="center"/>
          </w:tcPr>
          <w:p>
            <w:pPr>
              <w:spacing w:line="440" w:lineRule="exact"/>
              <w:jc w:val="center"/>
              <w:rPr>
                <w:rFonts w:ascii="仿宋" w:hAnsi="仿宋" w:eastAsia="仿宋" w:cs="Times New Roman"/>
                <w:b/>
                <w:bCs/>
                <w:kern w:val="0"/>
                <w:szCs w:val="28"/>
              </w:rPr>
            </w:pPr>
            <w:r>
              <w:rPr>
                <w:rFonts w:hint="eastAsia" w:ascii="仿宋" w:hAnsi="仿宋" w:eastAsia="仿宋" w:cs="仿宋"/>
                <w:b/>
                <w:bCs/>
                <w:kern w:val="0"/>
                <w:szCs w:val="28"/>
              </w:rPr>
              <w:t>九、学院运行</w:t>
            </w:r>
          </w:p>
        </w:tc>
        <w:tc>
          <w:tcPr>
            <w:tcW w:w="9866" w:type="dxa"/>
            <w:vAlign w:val="center"/>
          </w:tcPr>
          <w:p>
            <w:pPr>
              <w:keepNext w:val="0"/>
              <w:keepLines w:val="0"/>
              <w:pageBreakBefore w:val="0"/>
              <w:widowControl/>
              <w:kinsoku/>
              <w:wordWrap/>
              <w:overflowPunct/>
              <w:topLinePunct w:val="0"/>
              <w:autoSpaceDE/>
              <w:autoSpaceDN/>
              <w:bidi w:val="0"/>
              <w:adjustRightInd/>
              <w:snapToGrid/>
              <w:spacing w:line="440" w:lineRule="exact"/>
              <w:contextualSpacing/>
              <w:jc w:val="both"/>
              <w:textAlignment w:val="auto"/>
              <w:rPr>
                <w:rFonts w:hint="eastAsia" w:ascii="仿宋_GB2312" w:hAnsi="仿宋_GB2312" w:eastAsia="仿宋_GB2312" w:cs="仿宋_GB2312"/>
                <w:b w:val="0"/>
                <w:bCs w:val="0"/>
                <w:color w:val="auto"/>
                <w:kern w:val="0"/>
                <w:sz w:val="28"/>
                <w:szCs w:val="28"/>
              </w:rPr>
            </w:pPr>
            <w:r>
              <w:rPr>
                <w:rFonts w:hint="eastAsia" w:ascii="仿宋_GB2312" w:hAnsi="仿宋_GB2312" w:eastAsia="仿宋_GB2312" w:cs="仿宋_GB2312"/>
                <w:b w:val="0"/>
                <w:bCs w:val="0"/>
                <w:color w:val="auto"/>
                <w:kern w:val="0"/>
                <w:sz w:val="28"/>
                <w:szCs w:val="28"/>
              </w:rPr>
              <w:t>1.综合管理（</w:t>
            </w:r>
            <w:r>
              <w:rPr>
                <w:rFonts w:hint="eastAsia" w:ascii="仿宋_GB2312" w:hAnsi="仿宋_GB2312" w:eastAsia="仿宋_GB2312" w:cs="仿宋_GB2312"/>
                <w:b w:val="0"/>
                <w:bCs w:val="0"/>
                <w:color w:val="auto"/>
                <w:sz w:val="28"/>
                <w:szCs w:val="28"/>
              </w:rPr>
              <w:t>政令畅通、令行禁止、制度健全，内部治理法治化、制度化、规范化</w:t>
            </w:r>
            <w:r>
              <w:rPr>
                <w:rFonts w:hint="eastAsia" w:ascii="仿宋_GB2312" w:hAnsi="仿宋_GB2312" w:eastAsia="仿宋_GB2312" w:cs="仿宋_GB2312"/>
                <w:b w:val="0"/>
                <w:bCs w:val="0"/>
                <w:color w:val="auto"/>
                <w:kern w:val="0"/>
                <w:sz w:val="28"/>
                <w:szCs w:val="28"/>
              </w:rPr>
              <w:t>）</w:t>
            </w:r>
          </w:p>
          <w:p>
            <w:pPr>
              <w:keepNext w:val="0"/>
              <w:keepLines w:val="0"/>
              <w:pageBreakBefore w:val="0"/>
              <w:widowControl/>
              <w:kinsoku/>
              <w:wordWrap/>
              <w:overflowPunct/>
              <w:topLinePunct w:val="0"/>
              <w:autoSpaceDE/>
              <w:autoSpaceDN/>
              <w:bidi w:val="0"/>
              <w:adjustRightInd/>
              <w:snapToGrid/>
              <w:spacing w:line="440" w:lineRule="exact"/>
              <w:contextualSpacing/>
              <w:jc w:val="both"/>
              <w:textAlignment w:val="auto"/>
              <w:rPr>
                <w:rFonts w:hint="eastAsia" w:ascii="仿宋_GB2312" w:hAnsi="仿宋_GB2312" w:eastAsia="仿宋_GB2312" w:cs="仿宋_GB2312"/>
                <w:b w:val="0"/>
                <w:bCs w:val="0"/>
                <w:color w:val="auto"/>
                <w:kern w:val="0"/>
                <w:sz w:val="28"/>
                <w:szCs w:val="28"/>
              </w:rPr>
            </w:pPr>
            <w:r>
              <w:rPr>
                <w:rFonts w:hint="eastAsia" w:ascii="仿宋_GB2312" w:hAnsi="仿宋_GB2312" w:eastAsia="仿宋_GB2312" w:cs="仿宋_GB2312"/>
                <w:b w:val="0"/>
                <w:bCs w:val="0"/>
                <w:color w:val="auto"/>
                <w:kern w:val="0"/>
                <w:sz w:val="28"/>
                <w:szCs w:val="28"/>
              </w:rPr>
              <w:t>2.安全稳定管理（</w:t>
            </w:r>
            <w:r>
              <w:rPr>
                <w:rFonts w:hint="eastAsia" w:ascii="仿宋_GB2312" w:hAnsi="仿宋_GB2312" w:eastAsia="仿宋_GB2312" w:cs="仿宋_GB2312"/>
                <w:b w:val="0"/>
                <w:bCs w:val="0"/>
                <w:color w:val="auto"/>
                <w:sz w:val="28"/>
                <w:szCs w:val="28"/>
              </w:rPr>
              <w:t>贯彻稳定工作制，落实各项措施，防止各类突发事件与安全事故的发生，网络安全与信息化、</w:t>
            </w:r>
            <w:r>
              <w:rPr>
                <w:rFonts w:hint="eastAsia" w:ascii="仿宋_GB2312" w:hAnsi="仿宋_GB2312" w:eastAsia="仿宋_GB2312" w:cs="仿宋_GB2312"/>
                <w:b w:val="0"/>
                <w:bCs w:val="0"/>
                <w:color w:val="auto"/>
                <w:kern w:val="0"/>
                <w:sz w:val="28"/>
                <w:szCs w:val="28"/>
              </w:rPr>
              <w:t>保密工作</w:t>
            </w:r>
            <w:r>
              <w:rPr>
                <w:rFonts w:hint="eastAsia" w:ascii="仿宋_GB2312" w:hAnsi="仿宋_GB2312" w:eastAsia="仿宋_GB2312" w:cs="仿宋_GB2312"/>
                <w:b w:val="0"/>
                <w:bCs w:val="0"/>
                <w:color w:val="auto"/>
                <w:sz w:val="28"/>
                <w:szCs w:val="28"/>
              </w:rPr>
              <w:t>、</w:t>
            </w:r>
            <w:r>
              <w:rPr>
                <w:rFonts w:hint="eastAsia" w:ascii="仿宋_GB2312" w:hAnsi="仿宋_GB2312" w:eastAsia="仿宋_GB2312" w:cs="仿宋_GB2312"/>
                <w:b w:val="0"/>
                <w:bCs w:val="0"/>
                <w:color w:val="auto"/>
                <w:kern w:val="0"/>
                <w:sz w:val="28"/>
                <w:szCs w:val="28"/>
              </w:rPr>
              <w:t>法治工作</w:t>
            </w:r>
            <w:r>
              <w:rPr>
                <w:rFonts w:hint="eastAsia" w:ascii="仿宋_GB2312" w:hAnsi="仿宋_GB2312" w:eastAsia="仿宋_GB2312" w:cs="仿宋_GB2312"/>
                <w:b w:val="0"/>
                <w:bCs w:val="0"/>
                <w:color w:val="auto"/>
                <w:sz w:val="28"/>
                <w:szCs w:val="28"/>
              </w:rPr>
              <w:t>的责任落实情况</w:t>
            </w:r>
            <w:r>
              <w:rPr>
                <w:rFonts w:hint="eastAsia" w:ascii="仿宋_GB2312" w:hAnsi="仿宋_GB2312" w:eastAsia="仿宋_GB2312" w:cs="仿宋_GB2312"/>
                <w:b w:val="0"/>
                <w:bCs w:val="0"/>
                <w:color w:val="auto"/>
                <w:kern w:val="0"/>
                <w:sz w:val="28"/>
                <w:szCs w:val="28"/>
              </w:rPr>
              <w:t>）</w:t>
            </w:r>
          </w:p>
          <w:p>
            <w:pPr>
              <w:keepNext w:val="0"/>
              <w:keepLines w:val="0"/>
              <w:pageBreakBefore w:val="0"/>
              <w:widowControl/>
              <w:kinsoku/>
              <w:wordWrap/>
              <w:overflowPunct/>
              <w:topLinePunct w:val="0"/>
              <w:autoSpaceDE/>
              <w:autoSpaceDN/>
              <w:bidi w:val="0"/>
              <w:adjustRightInd/>
              <w:snapToGrid/>
              <w:spacing w:line="440" w:lineRule="exact"/>
              <w:contextualSpacing/>
              <w:jc w:val="both"/>
              <w:textAlignment w:val="auto"/>
              <w:rPr>
                <w:rFonts w:hint="eastAsia" w:ascii="仿宋_GB2312" w:hAnsi="仿宋_GB2312" w:eastAsia="仿宋_GB2312" w:cs="仿宋_GB2312"/>
                <w:b w:val="0"/>
                <w:bCs w:val="0"/>
                <w:color w:val="auto"/>
                <w:kern w:val="0"/>
                <w:sz w:val="28"/>
                <w:szCs w:val="28"/>
              </w:rPr>
            </w:pPr>
            <w:r>
              <w:rPr>
                <w:rFonts w:hint="eastAsia" w:ascii="仿宋_GB2312" w:hAnsi="仿宋_GB2312" w:eastAsia="仿宋_GB2312" w:cs="仿宋_GB2312"/>
                <w:b w:val="0"/>
                <w:bCs w:val="0"/>
                <w:color w:val="auto"/>
                <w:kern w:val="0"/>
                <w:sz w:val="28"/>
                <w:szCs w:val="28"/>
              </w:rPr>
              <w:t>3.日常管理与运行（</w:t>
            </w:r>
            <w:r>
              <w:rPr>
                <w:rFonts w:hint="eastAsia" w:ascii="仿宋_GB2312" w:hAnsi="仿宋_GB2312" w:eastAsia="仿宋_GB2312" w:cs="仿宋_GB2312"/>
                <w:b w:val="0"/>
                <w:bCs w:val="0"/>
                <w:color w:val="auto"/>
                <w:sz w:val="28"/>
                <w:szCs w:val="28"/>
              </w:rPr>
              <w:t>各类信息、文档的规范化流转与管理，严格按照公文运转规定和程序办事，按时完成学校交办的各类任务</w:t>
            </w:r>
            <w:r>
              <w:rPr>
                <w:rFonts w:hint="eastAsia" w:ascii="仿宋_GB2312" w:hAnsi="仿宋_GB2312" w:eastAsia="仿宋_GB2312" w:cs="仿宋_GB2312"/>
                <w:b w:val="0"/>
                <w:bCs w:val="0"/>
                <w:color w:val="auto"/>
                <w:kern w:val="0"/>
                <w:sz w:val="28"/>
                <w:szCs w:val="28"/>
              </w:rPr>
              <w:t>）</w:t>
            </w:r>
          </w:p>
          <w:p>
            <w:pPr>
              <w:keepNext w:val="0"/>
              <w:keepLines w:val="0"/>
              <w:pageBreakBefore w:val="0"/>
              <w:widowControl/>
              <w:kinsoku/>
              <w:wordWrap/>
              <w:overflowPunct/>
              <w:topLinePunct w:val="0"/>
              <w:autoSpaceDE/>
              <w:autoSpaceDN/>
              <w:bidi w:val="0"/>
              <w:adjustRightInd/>
              <w:snapToGrid/>
              <w:spacing w:line="440" w:lineRule="exact"/>
              <w:contextualSpacing/>
              <w:jc w:val="both"/>
              <w:textAlignment w:val="auto"/>
              <w:rPr>
                <w:rFonts w:hint="eastAsia" w:ascii="仿宋_GB2312" w:hAnsi="仿宋_GB2312" w:eastAsia="仿宋_GB2312" w:cs="仿宋_GB2312"/>
                <w:b w:val="0"/>
                <w:bCs w:val="0"/>
                <w:color w:val="auto"/>
                <w:kern w:val="0"/>
                <w:sz w:val="28"/>
                <w:szCs w:val="28"/>
              </w:rPr>
            </w:pPr>
            <w:r>
              <w:rPr>
                <w:rFonts w:hint="eastAsia" w:ascii="仿宋_GB2312" w:hAnsi="仿宋_GB2312" w:eastAsia="仿宋_GB2312" w:cs="仿宋_GB2312"/>
                <w:b w:val="0"/>
                <w:bCs w:val="0"/>
                <w:color w:val="auto"/>
                <w:kern w:val="0"/>
                <w:sz w:val="28"/>
                <w:szCs w:val="28"/>
              </w:rPr>
              <w:t>4.重大事项落实情况（学校、学院（部）重要决策事项的落实，校领导交办事项的落实，重大事项请示报告情况）</w:t>
            </w:r>
          </w:p>
          <w:p>
            <w:pPr>
              <w:keepNext w:val="0"/>
              <w:keepLines w:val="0"/>
              <w:pageBreakBefore w:val="0"/>
              <w:widowControl/>
              <w:kinsoku/>
              <w:wordWrap/>
              <w:overflowPunct/>
              <w:topLinePunct w:val="0"/>
              <w:autoSpaceDE/>
              <w:autoSpaceDN/>
              <w:bidi w:val="0"/>
              <w:adjustRightInd/>
              <w:snapToGrid/>
              <w:spacing w:line="440" w:lineRule="exact"/>
              <w:jc w:val="both"/>
              <w:textAlignment w:val="auto"/>
              <w:rPr>
                <w:rFonts w:hint="eastAsia" w:ascii="仿宋_GB2312" w:hAnsi="仿宋_GB2312" w:eastAsia="仿宋_GB2312" w:cs="仿宋_GB2312"/>
                <w:b w:val="0"/>
                <w:bCs w:val="0"/>
                <w:kern w:val="0"/>
                <w:sz w:val="28"/>
                <w:szCs w:val="28"/>
              </w:rPr>
            </w:pPr>
            <w:r>
              <w:rPr>
                <w:rFonts w:hint="eastAsia" w:ascii="仿宋_GB2312" w:hAnsi="仿宋_GB2312" w:eastAsia="仿宋_GB2312" w:cs="仿宋_GB2312"/>
                <w:b w:val="0"/>
                <w:bCs w:val="0"/>
                <w:color w:val="auto"/>
                <w:kern w:val="0"/>
                <w:sz w:val="28"/>
                <w:szCs w:val="28"/>
              </w:rPr>
              <w:t>5.负面清单：发生重大违法违规事件；发生重大泄密事件；发生重大网络安全事件；有违反学校综合治理规定；发生安全责任事故、火灾等影响学校安全稳定事件；未及时处置所通报的网络安全事件；紧急重要信息迟报、漏报、瞒报等情况</w:t>
            </w:r>
          </w:p>
        </w:tc>
        <w:tc>
          <w:tcPr>
            <w:tcW w:w="2159" w:type="dxa"/>
            <w:vAlign w:val="center"/>
          </w:tcPr>
          <w:p>
            <w:pPr>
              <w:widowControl/>
              <w:spacing w:line="320" w:lineRule="exact"/>
              <w:jc w:val="left"/>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牵头单位：</w:t>
            </w:r>
          </w:p>
          <w:p>
            <w:pPr>
              <w:widowControl/>
              <w:spacing w:line="320" w:lineRule="exact"/>
              <w:jc w:val="left"/>
              <w:rPr>
                <w:rFonts w:ascii="仿宋_GB2312" w:hAnsi="仿宋_GB2312" w:eastAsia="仿宋_GB2312" w:cs="仿宋_GB2312"/>
                <w:b/>
                <w:bCs/>
                <w:kern w:val="0"/>
                <w:sz w:val="28"/>
                <w:szCs w:val="28"/>
              </w:rPr>
            </w:pPr>
            <w:r>
              <w:rPr>
                <w:rFonts w:hint="eastAsia" w:ascii="仿宋_GB2312" w:hAnsi="仿宋_GB2312" w:eastAsia="仿宋_GB2312" w:cs="仿宋_GB2312"/>
                <w:b/>
                <w:bCs/>
                <w:kern w:val="0"/>
                <w:sz w:val="28"/>
                <w:szCs w:val="28"/>
              </w:rPr>
              <w:t>党政办公室（发展规划办公室）</w:t>
            </w:r>
          </w:p>
          <w:p>
            <w:pPr>
              <w:widowControl/>
              <w:spacing w:line="320" w:lineRule="exact"/>
              <w:jc w:val="left"/>
              <w:rPr>
                <w:rFonts w:ascii="仿宋_GB2312" w:hAnsi="仿宋_GB2312" w:eastAsia="仿宋_GB2312" w:cs="仿宋_GB2312"/>
                <w:kern w:val="0"/>
                <w:sz w:val="28"/>
                <w:szCs w:val="28"/>
              </w:rPr>
            </w:pPr>
          </w:p>
          <w:p>
            <w:pPr>
              <w:widowControl/>
              <w:spacing w:line="320" w:lineRule="exact"/>
              <w:jc w:val="left"/>
              <w:rPr>
                <w:rFonts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参与单位：</w:t>
            </w:r>
          </w:p>
          <w:p>
            <w:pPr>
              <w:widowControl/>
              <w:spacing w:line="440" w:lineRule="exact"/>
              <w:jc w:val="left"/>
              <w:rPr>
                <w:rFonts w:hint="eastAsia" w:eastAsia="仿宋_GB2312" w:cs="Times New Roman"/>
                <w:szCs w:val="28"/>
                <w:lang w:eastAsia="zh-CN"/>
              </w:rPr>
            </w:pPr>
            <w:r>
              <w:rPr>
                <w:rFonts w:hint="eastAsia" w:ascii="仿宋_GB2312" w:hAnsi="仿宋_GB2312" w:eastAsia="仿宋_GB2312" w:cs="仿宋_GB2312"/>
                <w:kern w:val="0"/>
                <w:sz w:val="28"/>
                <w:szCs w:val="28"/>
              </w:rPr>
              <w:t>党委保卫部（保卫处、人武部）、总务部、信息化建设与发展中心</w:t>
            </w:r>
            <w:r>
              <w:rPr>
                <w:rFonts w:hint="eastAsia" w:ascii="仿宋_GB2312" w:hAnsi="仿宋_GB2312" w:eastAsia="仿宋_GB2312" w:cs="仿宋_GB2312"/>
                <w:kern w:val="0"/>
                <w:sz w:val="28"/>
                <w:szCs w:val="28"/>
                <w:lang w:eastAsia="zh-CN"/>
              </w:rPr>
              <w:t>、实验室安全管理处</w:t>
            </w:r>
          </w:p>
        </w:tc>
      </w:tr>
    </w:tbl>
    <w:p>
      <w:bookmarkStart w:id="2" w:name="_GoBack"/>
      <w:bookmarkEnd w:id="2"/>
    </w:p>
    <w:sectPr>
      <w:pgSz w:w="16838" w:h="11906" w:orient="landscape"/>
      <w:pgMar w:top="1800" w:right="1440" w:bottom="1800" w:left="144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042B8A"/>
    <w:multiLevelType w:val="multilevel"/>
    <w:tmpl w:val="10042B8A"/>
    <w:lvl w:ilvl="0" w:tentative="0">
      <w:start w:val="1"/>
      <w:numFmt w:val="decimal"/>
      <w:lvlText w:val="%1."/>
      <w:lvlJc w:val="left"/>
      <w:pPr>
        <w:ind w:left="360" w:hanging="36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mJjMDcxMzkwZGZiOWI2YWI1ZjAyZGZhNTUxMjgyZmIifQ=="/>
  </w:docVars>
  <w:rsids>
    <w:rsidRoot w:val="00000000"/>
    <w:rsid w:val="106F254B"/>
    <w:rsid w:val="1AA766A2"/>
    <w:rsid w:val="24903D06"/>
    <w:rsid w:val="270D1BE1"/>
    <w:rsid w:val="2EEE3778"/>
    <w:rsid w:val="321002F3"/>
    <w:rsid w:val="367207A7"/>
    <w:rsid w:val="3A8B5061"/>
    <w:rsid w:val="3EC41DE5"/>
    <w:rsid w:val="403443A0"/>
    <w:rsid w:val="442F3F3E"/>
    <w:rsid w:val="4A51605B"/>
    <w:rsid w:val="4F39300B"/>
    <w:rsid w:val="51960112"/>
    <w:rsid w:val="5D9268FB"/>
    <w:rsid w:val="6F56080D"/>
    <w:rsid w:val="7BE90BA9"/>
    <w:rsid w:val="7E7F375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8"/>
      <w:szCs w:val="22"/>
      <w:lang w:val="en-US" w:eastAsia="zh-CN" w:bidi="ar-SA"/>
    </w:rPr>
  </w:style>
  <w:style w:type="paragraph" w:styleId="2">
    <w:name w:val="heading 1"/>
    <w:basedOn w:val="1"/>
    <w:next w:val="1"/>
    <w:qFormat/>
    <w:uiPriority w:val="9"/>
    <w:pPr>
      <w:keepNext/>
      <w:keepLines/>
      <w:spacing w:before="340" w:after="330" w:line="578" w:lineRule="auto"/>
      <w:jc w:val="center"/>
      <w:outlineLvl w:val="0"/>
    </w:pPr>
    <w:rPr>
      <w:rFonts w:eastAsiaTheme="majorEastAsia"/>
      <w:b/>
      <w:bCs/>
      <w:kern w:val="44"/>
      <w:sz w:val="30"/>
      <w:szCs w:val="44"/>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List Paragraph"/>
    <w:basedOn w:val="1"/>
    <w:qFormat/>
    <w:uiPriority w:val="99"/>
    <w:pPr>
      <w:ind w:firstLine="420" w:firstLineChars="200"/>
    </w:pPr>
    <w:rPr>
      <w:rFonts w:ascii="Calibri" w:hAnsi="Calibri" w:eastAsia="宋体" w:cs="Calibri"/>
      <w:szCs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8</TotalTime>
  <ScaleCrop>false</ScaleCrop>
  <LinksUpToDate>false</LinksUpToDate>
  <CharactersWithSpaces>0</CharactersWithSpaces>
  <Application>WPS Office_11.1.0.12980_F1E327BC-269C-435d-A152-05C5408002CA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2020-12-07T03:22:00Z</dcterms:created>
  <dc:creator>Administrator</dc:creator>
  <cp:lastModifiedBy>lenovo</cp:lastModifiedBy>
  <dcterms:modified xsi:type="dcterms:W3CDTF">2022-12-09T10:22:20Z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2052-11.1.0.12980</vt:lpwstr>
  </property>
  <property fmtid="{D5CDD505-2E9C-101B-9397-08002B2CF9AE}" pid="3" name="ICV">
    <vt:lpwstr>0E2857E79B2042A5BEDCB2AD6DB89254</vt:lpwstr>
  </property>
</Properties>
</file>