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0" w:name="_Toc21877"/>
      <w:r>
        <w:rPr>
          <w:rFonts w:hint="eastAsia" w:ascii="黑体" w:hAnsi="黑体" w:eastAsia="黑体" w:cs="黑体"/>
          <w:sz w:val="24"/>
          <w:szCs w:val="36"/>
          <w:lang w:val="en-US" w:eastAsia="zh-CN"/>
        </w:rPr>
        <w:t>附件17</w:t>
      </w:r>
      <w:bookmarkStart w:id="1" w:name="_GoBack"/>
      <w:bookmarkEnd w:id="1"/>
      <w:r>
        <w:rPr>
          <w:rFonts w:hint="eastAsia" w:ascii="黑体" w:hAnsi="黑体" w:eastAsia="黑体" w:cs="黑体"/>
          <w:sz w:val="24"/>
          <w:szCs w:val="36"/>
          <w:lang w:val="en-US" w:eastAsia="zh-CN"/>
        </w:rPr>
        <w:t>：</w:t>
      </w:r>
    </w:p>
    <w:p>
      <w:pPr>
        <w:pStyle w:val="2"/>
      </w:pPr>
      <w:r>
        <w:rPr>
          <w:rFonts w:hint="eastAsia"/>
        </w:rPr>
        <w:t>合肥工业大学教学科研实体评价暂行办法</w:t>
      </w:r>
      <w:bookmarkEnd w:id="0"/>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根据《深化新时代教育评价改革总体方案》文件精神，结合学校教学科研实际情况，特制定本暂行办法。</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一、评价原则</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1、破解“五唯”的评价机制，引导教学科研工作向多领域、高水平、原创性发展。</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2、坚持多元评价和多维度评价，侧重体现学校办学水平、科研创新等标志性成果。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3、坚持增值评价和综合性评价，引领教学科研工作坚持质量优先和内涵式发展。</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二、评价类别</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主要包括教学突出业绩与科研突出业绩两大类。</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1、教学突出业绩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教学突出业绩由本科生院（研究生院配合）根据各学院本年度教学突出业绩的贡献份额核算，各指标如下：</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①教改研究成果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②创新创业成果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③教学工作量</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2、科研突出业绩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科研突出业绩由科研院根据各学院本年度科研突出业绩的贡献份额核算，各指标如下：</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①基础研究成果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②应用研究成果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③科研工作量</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三、其他突出业绩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1、获批国家级“一流专业”，每项奖励15万元；获批省级“一流专业”专业，每项奖励5万元。</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2、获批国家级“一流课程”，每项奖励5万元。</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3、其他教学科研奖励按教学科研成果分值计算办法执行。</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四、其他规定</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二级单位根据国家政策、学校规定和本单位实际制定本单位教学科研突出业绩奖励实施细则，经学院领导班子、教学指导与督导委员会、学术分委员会充分研究，教代会审议通过，并经人事处审核备案后执行。</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2、二级单位制定教学科研奖励细则要以代表性、创新性教学科研成果为主，要力戒平均主义，同时不得以论文数、项目（经费）数、专利数、职称职级等作为分配依据。</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五、监督与申诉</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1、各单位应成立相应的教学科研业绩分配监督和仲裁工作小组，受理本单位教职工绩效分配的投诉和申诉。</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2、学校成立由校纪委、监察办公室牵头，组织、人事、工会等单位负责同志参加的教学科研业绩分配监督工作小组，负责对各单位仲裁意见的复议和审定。</w:t>
      </w:r>
    </w:p>
    <w:p>
      <w:r>
        <w:rPr>
          <w:rFonts w:hint="eastAsia" w:cs="宋体" w:asciiTheme="minorEastAsia" w:hAnsiTheme="minorEastAsia"/>
          <w:b/>
          <w:bCs/>
          <w:color w:val="000000" w:themeColor="text1"/>
          <w:kern w:val="0"/>
          <w:szCs w:val="28"/>
          <w14:textFill>
            <w14:solidFill>
              <w14:schemeClr w14:val="tx1"/>
            </w14:solidFill>
          </w14:textFill>
        </w:rPr>
        <w:t>六、本办法由人事处负责解释。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6128C"/>
    <w:rsid w:val="146B1BA8"/>
    <w:rsid w:val="7BD00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2020-12-07T03:40:00Z</dcterms:created>
  <dc:creator>Administrator</dc:creator>
  <cp:lastModifiedBy>張毅</cp:lastModifiedBy>
  <dcterms:modified xsi:type="dcterms:W3CDTF">2021-11-18T00:35:45Z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26BDDEBBA1544EFF9F50E1D02028C2D9</vt:lpwstr>
  </property>
</Properties>
</file>