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49" w:tblpY="2574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692"/>
        <w:gridCol w:w="5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69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学科领域</w:t>
            </w: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69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基础研究</w:t>
            </w: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核心计算基础数学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运筹学与控制论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理论物理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量子物理的新发现和研究理论物理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物理化学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材料化学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69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基础前沿交叉</w:t>
            </w: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超常环境下系统力学问题研究与验证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功能体系的分子工程与分子成像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能源化学转化的动态本质与调控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269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先进材料</w:t>
            </w: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高性能材料结构设计、制备与应用探索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变革性纳米产业制造技术聚焦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269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能源</w:t>
            </w: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煤炭清洁高效利用技术与示范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未来先进核裂变能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基于高效热工转换的先进动力技术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17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可再生能源与多能互补应用示范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</w:t>
            </w:r>
          </w:p>
        </w:tc>
        <w:tc>
          <w:tcPr>
            <w:tcW w:w="269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生命与健康</w:t>
            </w: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脑科学与类脑智能研究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19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生物超大分子复合体的结构、功能与调控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病原微生物与宿主免疫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器官修复与再造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生物合成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健康保障技术与装备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战略生物资源评价与转化利用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25</w:t>
            </w:r>
          </w:p>
        </w:tc>
        <w:tc>
          <w:tcPr>
            <w:tcW w:w="269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信息</w:t>
            </w: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量子通信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网络空间安全关键技术与应用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高效能计算与网络通信关键技术及应用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28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大数据与人工智能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区块链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人机交互与虚拟现实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集成电路与核心基础器件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机器人与超精密极端制造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269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光电空间</w:t>
            </w: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空间科学先导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月球与首次火星科学探测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26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平流层飞艇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附件1：</w:t>
      </w:r>
      <w:r>
        <w:rPr>
          <w:rFonts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特别资助（站前）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可申报的研究方向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B6624"/>
    <w:rsid w:val="364524BF"/>
    <w:rsid w:val="57F62FF5"/>
    <w:rsid w:val="68EB66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2021-01-31T15:05:00Z</dcterms:created>
  <dc:creator>微笑的牧羊人</dc:creator>
  <cp:lastModifiedBy>柚子</cp:lastModifiedBy>
  <dcterms:modified xsi:type="dcterms:W3CDTF">2021-12-21T01:54:15Z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76097C6482EE4CC9B125409879690568</vt:lpwstr>
  </property>
</Properties>
</file>