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Lines="50" w:beforeAutospacing="0" w:afterLines="50" w:afterAutospacing="0" w:line="580" w:lineRule="exact"/>
        <w:rPr>
          <w:rStyle w:val="11"/>
          <w:rFonts w:hint="eastAsia" w:ascii="黑体" w:hAnsi="黑体" w:eastAsia="黑体" w:cs="方正小标宋_GBK"/>
          <w:b w:val="0"/>
          <w:bCs w:val="0"/>
          <w:color w:val="000000"/>
          <w:sz w:val="32"/>
          <w:szCs w:val="36"/>
        </w:rPr>
      </w:pPr>
      <w:bookmarkStart w:id="4" w:name="_GoBack"/>
      <w:bookmarkEnd w:id="4"/>
      <w:r>
        <w:rPr>
          <w:rStyle w:val="11"/>
          <w:rFonts w:hint="eastAsia" w:ascii="黑体" w:hAnsi="黑体" w:eastAsia="黑体" w:cs="方正小标宋_GBK"/>
          <w:b w:val="0"/>
          <w:bCs w:val="0"/>
          <w:color w:val="000000"/>
          <w:sz w:val="32"/>
          <w:szCs w:val="36"/>
        </w:rPr>
        <w:t>附件</w:t>
      </w:r>
    </w:p>
    <w:p>
      <w:pPr>
        <w:pStyle w:val="7"/>
        <w:spacing w:beforeLines="50" w:beforeAutospacing="0" w:afterLines="50" w:afterAutospacing="0" w:line="580" w:lineRule="exact"/>
        <w:jc w:val="center"/>
        <w:rPr>
          <w:rStyle w:val="11"/>
          <w:rFonts w:ascii="方正小标宋简体" w:hAnsi="方正小标宋_GBK" w:eastAsia="方正小标宋简体" w:cs="方正小标宋_GBK"/>
          <w:b w:val="0"/>
          <w:bCs w:val="0"/>
          <w:color w:val="000000"/>
          <w:sz w:val="36"/>
          <w:szCs w:val="36"/>
        </w:rPr>
      </w:pPr>
      <w:r>
        <w:rPr>
          <w:rStyle w:val="11"/>
          <w:rFonts w:hint="eastAsia" w:ascii="方正小标宋简体" w:hAnsi="方正小标宋_GBK" w:eastAsia="方正小标宋简体" w:cs="方正小标宋_GBK"/>
          <w:b w:val="0"/>
          <w:bCs w:val="0"/>
          <w:color w:val="000000"/>
          <w:sz w:val="36"/>
          <w:szCs w:val="36"/>
        </w:rPr>
        <w:t>合肥工业大学青年教师引进实施办法（试行）</w:t>
      </w:r>
    </w:p>
    <w:p>
      <w:pPr>
        <w:pStyle w:val="7"/>
        <w:spacing w:before="0" w:beforeAutospacing="0" w:afterLines="50" w:afterAutospacing="0" w:line="540" w:lineRule="exact"/>
        <w:jc w:val="center"/>
        <w:rPr>
          <w:rStyle w:val="11"/>
          <w:rFonts w:ascii="黑体" w:hAnsi="黑体" w:eastAsia="黑体"/>
          <w:b w:val="0"/>
          <w:color w:val="000000"/>
          <w:sz w:val="32"/>
          <w:szCs w:val="32"/>
        </w:rPr>
      </w:pPr>
      <w:r>
        <w:rPr>
          <w:rStyle w:val="11"/>
          <w:rFonts w:hint="eastAsia" w:ascii="黑体" w:hAnsi="黑体" w:eastAsia="黑体"/>
          <w:b w:val="0"/>
          <w:color w:val="000000"/>
          <w:sz w:val="32"/>
          <w:szCs w:val="32"/>
        </w:rPr>
        <w:t>第一章  总则</w:t>
      </w:r>
    </w:p>
    <w:p>
      <w:pPr>
        <w:pStyle w:val="7"/>
        <w:spacing w:before="0" w:beforeAutospacing="0" w:after="0" w:afterAutospacing="0" w:line="540" w:lineRule="exact"/>
        <w:ind w:firstLine="643" w:firstLineChars="200"/>
        <w:jc w:val="both"/>
        <w:rPr>
          <w:rFonts w:ascii="微软雅黑" w:hAnsi="微软雅黑" w:eastAsia="微软雅黑"/>
          <w:color w:val="000000"/>
          <w:sz w:val="32"/>
          <w:szCs w:val="32"/>
        </w:rPr>
      </w:pPr>
      <w:r>
        <w:rPr>
          <w:rFonts w:hint="eastAsia" w:ascii="楷体_GB2312" w:hAnsi="楷体_GB2312" w:eastAsia="楷体_GB2312" w:cs="楷体_GB2312"/>
          <w:b/>
          <w:bCs/>
          <w:color w:val="000000"/>
          <w:sz w:val="32"/>
          <w:szCs w:val="32"/>
        </w:rPr>
        <w:t>第一条</w:t>
      </w:r>
      <w:r>
        <w:rPr>
          <w:rFonts w:hint="eastAsia"/>
          <w:color w:val="000000"/>
          <w:sz w:val="32"/>
          <w:szCs w:val="32"/>
        </w:rPr>
        <w:t xml:space="preserve">  </w:t>
      </w:r>
      <w:r>
        <w:rPr>
          <w:rFonts w:hint="eastAsia" w:ascii="仿宋_GB2312" w:hAnsi="仿宋_GB2312" w:eastAsia="仿宋_GB2312" w:cs="仿宋_GB2312"/>
          <w:color w:val="000000"/>
          <w:sz w:val="32"/>
          <w:szCs w:val="32"/>
        </w:rPr>
        <w:t>为建设一支适应学校研究型高水平大学发展目标的师资队伍，依据《事业单位人事管理条例》（国务院令第652号），结合教学科研工作实际和学科建设需要，制定本办法。</w:t>
      </w:r>
    </w:p>
    <w:p>
      <w:pPr>
        <w:pStyle w:val="7"/>
        <w:spacing w:before="0" w:beforeAutospacing="0" w:after="0" w:afterAutospacing="0"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 xml:space="preserve">第二条  </w:t>
      </w:r>
      <w:r>
        <w:rPr>
          <w:rFonts w:hint="eastAsia" w:ascii="仿宋_GB2312" w:hAnsi="仿宋_GB2312" w:eastAsia="仿宋_GB2312" w:cs="仿宋_GB2312"/>
          <w:color w:val="000000"/>
          <w:sz w:val="32"/>
          <w:szCs w:val="32"/>
        </w:rPr>
        <w:t>各用人单位</w:t>
      </w:r>
      <w:bookmarkStart w:id="0" w:name="_Hlk3964217"/>
      <w:r>
        <w:rPr>
          <w:rFonts w:hint="eastAsia" w:ascii="仿宋_GB2312" w:hAnsi="仿宋_GB2312" w:eastAsia="仿宋_GB2312" w:cs="仿宋_GB2312"/>
          <w:color w:val="000000"/>
          <w:sz w:val="32"/>
          <w:szCs w:val="32"/>
        </w:rPr>
        <w:t>根据自身发展实际</w:t>
      </w:r>
      <w:bookmarkEnd w:id="0"/>
      <w:r>
        <w:rPr>
          <w:rFonts w:hint="eastAsia" w:ascii="仿宋_GB2312" w:hAnsi="仿宋_GB2312" w:eastAsia="仿宋_GB2312" w:cs="仿宋_GB2312"/>
          <w:color w:val="000000"/>
          <w:sz w:val="32"/>
          <w:szCs w:val="32"/>
        </w:rPr>
        <w:t>，科学制定师资队伍建设中长期规划。每年年底前，提出下一年度的引进计划，由人事处审核后，报学校审批。</w:t>
      </w:r>
    </w:p>
    <w:p>
      <w:pPr>
        <w:pStyle w:val="7"/>
        <w:spacing w:before="0" w:beforeAutospacing="0" w:after="0" w:afterAutospacing="0" w:line="540" w:lineRule="exact"/>
        <w:ind w:firstLine="643" w:firstLineChars="200"/>
        <w:jc w:val="both"/>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 xml:space="preserve">第三条  </w:t>
      </w:r>
      <w:r>
        <w:rPr>
          <w:rFonts w:hint="eastAsia" w:ascii="仿宋_GB2312" w:hAnsi="仿宋_GB2312" w:eastAsia="仿宋_GB2312" w:cs="仿宋_GB2312"/>
          <w:color w:val="000000"/>
          <w:sz w:val="32"/>
          <w:szCs w:val="32"/>
        </w:rPr>
        <w:t>青年教师引进对象为政治合格、身体健康、国内外著名高校获得博士学位的优秀博士毕业生或博士后人员，年龄原则上不超过35岁。（不含《合肥工业大学人才聘用工作实施办法（修订）》中明确的各类人才）</w:t>
      </w:r>
    </w:p>
    <w:p>
      <w:pPr>
        <w:pStyle w:val="7"/>
        <w:spacing w:beforeLines="50" w:beforeAutospacing="0" w:afterLines="50" w:afterAutospacing="0" w:line="540" w:lineRule="exact"/>
        <w:jc w:val="center"/>
        <w:rPr>
          <w:rStyle w:val="11"/>
          <w:rFonts w:ascii="黑体" w:hAnsi="黑体" w:eastAsia="黑体"/>
          <w:b w:val="0"/>
          <w:color w:val="000000"/>
          <w:sz w:val="32"/>
          <w:szCs w:val="32"/>
        </w:rPr>
      </w:pPr>
      <w:r>
        <w:rPr>
          <w:rStyle w:val="11"/>
          <w:rFonts w:hint="eastAsia" w:ascii="黑体" w:hAnsi="黑体" w:eastAsia="黑体"/>
          <w:b w:val="0"/>
          <w:color w:val="000000"/>
          <w:sz w:val="32"/>
          <w:szCs w:val="32"/>
        </w:rPr>
        <w:t>第二章  招聘程序</w:t>
      </w:r>
    </w:p>
    <w:p>
      <w:pPr>
        <w:pStyle w:val="7"/>
        <w:spacing w:before="0" w:beforeAutospacing="0" w:after="0" w:afterAutospacing="0"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第四条  发布招聘信息</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学校公开发布招聘信息，明确招聘学科专业、招聘条件以及招聘人数。各用人单位应及时掌握各自学科发展动态，学校、用人单位两级协同，加大宣传力度，积极物色优秀人才。</w:t>
      </w:r>
    </w:p>
    <w:p>
      <w:pPr>
        <w:pStyle w:val="7"/>
        <w:spacing w:before="0" w:beforeAutospacing="0" w:after="0" w:afterAutospacing="0"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第五条  聘用步骤</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（一）个人申请。应聘者根据发布的招聘信息，按要求准备应聘材料，提交学校人事部门或用人单位。应聘材料中应包括个人简历、应聘审批表、两名同行专家的推荐信和相关证明材料。</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用人单位考察。用人单位对应聘人员从思想政治素质、师德师风表现、职业素养、心理健康、教学能力、科研能力等各方面进行全面考察。用人单位党委负责对应聘人员思想政治素质、师德师风表现、职业素养、心理健康进行考察，学术分委员会负责对应聘人员业务能力进行考察。考察采取教学试讲、答辩面试、心理测评等形式。考察结束，经用人单位党政联席会议讨论后形成拟聘方案，报送人事处。</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（三）人事处审核。人事处对各单位提交的拟聘方案从招聘流程、引才规划、学科建设需要和人岗匹配度等方面进行审核。</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（四）学校审定。学校人事工作委员会对各单位拟聘方案进行审定。</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（五）聘任公示。拟聘人员相关信息在学校人事部门网站公示，公示期为5个工作日。</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（六）入职报到。公示期无异议、入职体检通过的拟聘人员，原则上须在公示期结束后6个月内来校办理入职手续。</w:t>
      </w:r>
    </w:p>
    <w:p>
      <w:pPr>
        <w:pStyle w:val="7"/>
        <w:spacing w:beforeLines="50" w:beforeAutospacing="0" w:afterLines="50" w:afterAutospacing="0" w:line="540" w:lineRule="exact"/>
        <w:jc w:val="center"/>
        <w:rPr>
          <w:rStyle w:val="11"/>
          <w:rFonts w:ascii="黑体" w:hAnsi="黑体" w:eastAsia="黑体"/>
        </w:rPr>
      </w:pPr>
      <w:r>
        <w:rPr>
          <w:rStyle w:val="11"/>
          <w:rFonts w:hint="eastAsia" w:ascii="黑体" w:hAnsi="黑体" w:eastAsia="黑体"/>
          <w:b w:val="0"/>
          <w:color w:val="000000"/>
          <w:sz w:val="32"/>
          <w:szCs w:val="32"/>
        </w:rPr>
        <w:t>第三章  管理与考核</w:t>
      </w:r>
    </w:p>
    <w:p>
      <w:pPr>
        <w:pStyle w:val="7"/>
        <w:spacing w:before="0" w:beforeAutospacing="0" w:after="0" w:afterAutospacing="0"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第六条 </w:t>
      </w:r>
      <w:r>
        <w:rPr>
          <w:rFonts w:hint="eastAsia" w:ascii="楷体_GB2312" w:hAnsi="楷体_GB2312" w:eastAsia="楷体_GB2312" w:cs="楷体_GB2312"/>
          <w:b/>
          <w:bCs/>
          <w:sz w:val="32"/>
          <w:szCs w:val="32"/>
        </w:rPr>
        <w:t xml:space="preserve"> 聘用管理与考核</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（一）学校与新进人员签订聘用合同，实行“5年+5年”聘用管理模式。聘用人员聘期内须认真履行教师职责，完成用人单位安排的工作任务，每年参加年度考核，聘期末参加聘期考核。</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首聘期5年。聘用人员首聘期考核时业务水平达到教师系列专业技术职务评聘工作办法中规定的申报副高级基本业务条件的（以入职时对应岗位的评聘办法为准），考核为合格。考核合格者可以续聘。第二个聘期（5年）末，未能晋升副高级专业技术职务的，考核为不合格。</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（三）聘用人员在两个聘期内任一年度晋升副高级专业技术职务，经本人申请、学校审批后，与学校签订长期聘用合同。</w:t>
      </w:r>
    </w:p>
    <w:p>
      <w:pPr>
        <w:pStyle w:val="7"/>
        <w:spacing w:before="0" w:beforeAutospacing="0" w:after="0" w:afterAutospacing="0" w:line="5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年度考核和聘期考核由所在单位组织。年度考核时间段为自然年，新进教师前两年年度考核标准根据用人单位安排的工作任务确定，第三年及以后年度考核按学校考核标准执行。聘期考核时间段根据签订聘用合同的实际时间确定，考核结果作为续聘或解聘的主要依据。</w:t>
      </w:r>
    </w:p>
    <w:p>
      <w:pPr>
        <w:pStyle w:val="7"/>
        <w:spacing w:before="0" w:beforeAutospacing="0" w:after="0" w:afterAutospacing="0"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第七条  合同终止</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聘期内，聘用人员有下列情况之一的，学校可终止聘用合同或不再续聘：</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（一）违反国家法律法规、校纪校规等相关规定。</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（二）违反师德师风等相关规定。</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（三）给学校带来重大损失或有损学校声誉。</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（四）年度考核不称职。</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（五）聘期考核不合格。</w:t>
      </w:r>
    </w:p>
    <w:p>
      <w:pPr>
        <w:pStyle w:val="7"/>
        <w:spacing w:beforeLines="50" w:beforeAutospacing="0" w:afterLines="50" w:afterAutospacing="0" w:line="540" w:lineRule="exact"/>
        <w:jc w:val="center"/>
        <w:rPr>
          <w:rStyle w:val="11"/>
          <w:rFonts w:ascii="黑体" w:hAnsi="黑体" w:eastAsia="黑体"/>
          <w:b w:val="0"/>
          <w:color w:val="000000"/>
          <w:sz w:val="32"/>
          <w:szCs w:val="32"/>
        </w:rPr>
      </w:pPr>
      <w:r>
        <w:rPr>
          <w:rStyle w:val="11"/>
          <w:rFonts w:hint="eastAsia" w:ascii="黑体" w:hAnsi="黑体" w:eastAsia="黑体"/>
          <w:b w:val="0"/>
          <w:color w:val="000000"/>
          <w:sz w:val="32"/>
          <w:szCs w:val="32"/>
        </w:rPr>
        <w:t>第四章  待遇</w:t>
      </w:r>
    </w:p>
    <w:p>
      <w:pPr>
        <w:pStyle w:val="7"/>
        <w:spacing w:before="0" w:beforeAutospacing="0" w:after="0" w:afterAutospacing="0"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第八条  工资福利</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聘用人员工资福利按校内同类同级教师标准执行。</w:t>
      </w:r>
    </w:p>
    <w:p>
      <w:pPr>
        <w:pStyle w:val="7"/>
        <w:spacing w:before="0" w:beforeAutospacing="0" w:after="0" w:afterAutospacing="0"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第九条  住房补助</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具有博士学位的聘用人员，首聘期内学校提供购房补助16万元（税前）。</w:t>
      </w:r>
    </w:p>
    <w:p>
      <w:pPr>
        <w:pStyle w:val="7"/>
        <w:spacing w:before="0" w:beforeAutospacing="0" w:after="0" w:afterAutospacing="0"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第十条  科研启动费</w:t>
      </w:r>
    </w:p>
    <w:p>
      <w:pPr>
        <w:pStyle w:val="7"/>
        <w:spacing w:before="0" w:beforeAutospacing="0" w:after="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具有博士学位的聘用人员，提供科研启动费3万元，按科研项目方式管理。优先支持新进教师申报校内科研能力提升项目。</w:t>
      </w:r>
    </w:p>
    <w:p>
      <w:pPr>
        <w:pStyle w:val="7"/>
        <w:spacing w:beforeLines="50" w:beforeAutospacing="0" w:afterLines="50" w:afterAutospacing="0" w:line="540" w:lineRule="exact"/>
        <w:jc w:val="center"/>
        <w:rPr>
          <w:rStyle w:val="11"/>
          <w:rFonts w:ascii="黑体" w:hAnsi="黑体" w:eastAsia="黑体"/>
          <w:b w:val="0"/>
          <w:color w:val="000000"/>
          <w:sz w:val="32"/>
          <w:szCs w:val="32"/>
        </w:rPr>
      </w:pPr>
      <w:r>
        <w:rPr>
          <w:rStyle w:val="11"/>
          <w:rFonts w:hint="eastAsia" w:ascii="黑体" w:hAnsi="黑体" w:eastAsia="黑体"/>
          <w:b w:val="0"/>
          <w:color w:val="000000"/>
          <w:sz w:val="32"/>
          <w:szCs w:val="32"/>
        </w:rPr>
        <w:t>第五章 附则</w:t>
      </w:r>
    </w:p>
    <w:p>
      <w:pPr>
        <w:pStyle w:val="7"/>
        <w:spacing w:before="0" w:beforeAutospacing="0" w:after="0" w:afterAutospacing="0" w:line="540" w:lineRule="exact"/>
        <w:ind w:firstLine="643" w:firstLineChars="200"/>
        <w:jc w:val="both"/>
        <w:rPr>
          <w:rFonts w:ascii="仿宋_GB2312" w:hAnsi="仿宋_GB2312" w:eastAsia="仿宋_GB2312" w:cs="仿宋_GB2312"/>
          <w:color w:val="000000"/>
          <w:sz w:val="32"/>
          <w:szCs w:val="32"/>
        </w:rPr>
      </w:pPr>
      <w:bookmarkStart w:id="1" w:name="OLE_LINK2"/>
      <w:bookmarkEnd w:id="1"/>
      <w:bookmarkStart w:id="2" w:name="OLE_LINK1"/>
      <w:r>
        <w:rPr>
          <w:rFonts w:hint="eastAsia" w:ascii="楷体_GB2312" w:hAnsi="楷体_GB2312" w:eastAsia="楷体_GB2312" w:cs="楷体_GB2312"/>
          <w:b/>
          <w:bCs/>
          <w:color w:val="000000"/>
          <w:sz w:val="32"/>
          <w:szCs w:val="32"/>
        </w:rPr>
        <w:t>第十一条</w:t>
      </w:r>
      <w:r>
        <w:rPr>
          <w:rFonts w:hint="eastAsia" w:ascii="黑体" w:hAnsi="黑体" w:eastAsia="黑体"/>
          <w:color w:val="000000"/>
          <w:sz w:val="32"/>
          <w:szCs w:val="32"/>
        </w:rPr>
        <w:t xml:space="preserve">  </w:t>
      </w:r>
      <w:r>
        <w:rPr>
          <w:rFonts w:hint="eastAsia" w:ascii="仿宋_GB2312" w:hAnsi="仿宋_GB2312" w:eastAsia="仿宋_GB2312" w:cs="仿宋_GB2312"/>
          <w:color w:val="000000"/>
          <w:sz w:val="32"/>
          <w:szCs w:val="32"/>
        </w:rPr>
        <w:t>部分特殊学科（体育、艺术等）确有需要，经学校批准，可招聘部分国内外著名高校全日制优秀硕士毕业生（获得硕士学位）。聘用人员要求具有较高专业水平，年龄原则上不超过35岁，与学校签订聘用合同。每个聘期为5年，聘期内聘用人员每年参加年度考核，聘期末参加聘期考核，考核由用人单位组织。年度考核按学校年度考核方案执行，聘期专项考核标准由用人单位制定，报人事处审核通过后执行。聘期考核不合格者，不再续聘。考核合格者，继续签订聘用合同。在校工作期间晋升副高级专业技术职务的，经本人申请，学校批准后，签订长期聘用合同。</w:t>
      </w:r>
    </w:p>
    <w:p>
      <w:pPr>
        <w:pStyle w:val="7"/>
        <w:spacing w:before="0" w:beforeAutospacing="0" w:after="0" w:afterAutospacing="0" w:line="540" w:lineRule="exact"/>
        <w:ind w:firstLine="643" w:firstLineChars="200"/>
        <w:rPr>
          <w:rFonts w:ascii="仿宋_GB2312" w:hAnsi="仿宋_GB2312" w:eastAsia="仿宋_GB2312" w:cs="仿宋_GB2312"/>
          <w:color w:val="000000"/>
          <w:sz w:val="32"/>
          <w:szCs w:val="32"/>
        </w:rPr>
      </w:pPr>
      <w:bookmarkStart w:id="3" w:name="_Hlk5972844"/>
      <w:r>
        <w:rPr>
          <w:rFonts w:hint="eastAsia" w:ascii="楷体_GB2312" w:hAnsi="楷体_GB2312" w:eastAsia="楷体_GB2312" w:cs="楷体_GB2312"/>
          <w:b/>
          <w:bCs/>
          <w:color w:val="000000"/>
          <w:sz w:val="32"/>
          <w:szCs w:val="32"/>
        </w:rPr>
        <w:t>第十二条</w:t>
      </w:r>
      <w:bookmarkEnd w:id="2"/>
      <w:r>
        <w:rPr>
          <w:rFonts w:hint="eastAsia" w:ascii="仿宋_GB2312" w:hAnsi="仿宋_GB2312" w:eastAsia="仿宋_GB2312" w:cs="仿宋_GB2312"/>
          <w:color w:val="000000"/>
          <w:sz w:val="32"/>
          <w:szCs w:val="32"/>
        </w:rPr>
        <w:t xml:space="preserve">  本办法自发布之日起实施。依据本办法招聘的青年教师在签订长期聘用合同前，按照本办法管理。原《合肥工业大学师资补充实施办法》（合工大政发〔2013〕129号）同时废止。</w:t>
      </w:r>
    </w:p>
    <w:bookmarkEnd w:id="3"/>
    <w:p>
      <w:pPr>
        <w:pStyle w:val="7"/>
        <w:spacing w:before="0" w:beforeAutospacing="0" w:after="0" w:afterAutospacing="0"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第十三条</w:t>
      </w:r>
      <w:r>
        <w:rPr>
          <w:rFonts w:hint="eastAsia" w:ascii="仿宋_GB2312" w:hAnsi="仿宋_GB2312" w:eastAsia="仿宋_GB2312" w:cs="仿宋_GB2312"/>
          <w:color w:val="000000"/>
          <w:sz w:val="32"/>
          <w:szCs w:val="32"/>
        </w:rPr>
        <w:t xml:space="preserve">  本办法执行期间，如遇国家或主管部门政策调整的，则作相应调整。</w:t>
      </w:r>
    </w:p>
    <w:p>
      <w:pPr>
        <w:pStyle w:val="7"/>
        <w:spacing w:before="0" w:beforeAutospacing="0" w:after="0" w:afterAutospacing="0" w:line="540"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第十四条</w:t>
      </w:r>
      <w:r>
        <w:rPr>
          <w:rFonts w:hint="eastAsia" w:ascii="仿宋_GB2312" w:hAnsi="仿宋_GB2312" w:eastAsia="仿宋_GB2312" w:cs="仿宋_GB2312"/>
          <w:color w:val="000000"/>
          <w:sz w:val="32"/>
          <w:szCs w:val="32"/>
        </w:rPr>
        <w:t xml:space="preserve">  本办法由人事处负责解释。</w:t>
      </w:r>
    </w:p>
    <w:p>
      <w:pPr>
        <w:pStyle w:val="7"/>
        <w:spacing w:before="0" w:beforeAutospacing="0" w:after="0" w:afterAutospacing="0" w:line="560" w:lineRule="exact"/>
        <w:ind w:firstLine="640" w:firstLineChars="200"/>
        <w:rPr>
          <w:rFonts w:ascii="仿宋_GB2312" w:hAnsi="仿宋_GB2312" w:eastAsia="仿宋_GB2312" w:cs="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D0"/>
    <w:rsid w:val="000225A6"/>
    <w:rsid w:val="00045B82"/>
    <w:rsid w:val="00081B18"/>
    <w:rsid w:val="000B2476"/>
    <w:rsid w:val="000B4AE1"/>
    <w:rsid w:val="000E287E"/>
    <w:rsid w:val="00112FAE"/>
    <w:rsid w:val="00114B9F"/>
    <w:rsid w:val="0011694B"/>
    <w:rsid w:val="00120753"/>
    <w:rsid w:val="00121935"/>
    <w:rsid w:val="00144975"/>
    <w:rsid w:val="0016303B"/>
    <w:rsid w:val="001734FA"/>
    <w:rsid w:val="00176E85"/>
    <w:rsid w:val="00191693"/>
    <w:rsid w:val="00192F94"/>
    <w:rsid w:val="0019584B"/>
    <w:rsid w:val="00195D3B"/>
    <w:rsid w:val="001A3FF1"/>
    <w:rsid w:val="001B0E05"/>
    <w:rsid w:val="002015F4"/>
    <w:rsid w:val="002059A6"/>
    <w:rsid w:val="0022799E"/>
    <w:rsid w:val="00233BA9"/>
    <w:rsid w:val="002433B7"/>
    <w:rsid w:val="0025034A"/>
    <w:rsid w:val="00252BA6"/>
    <w:rsid w:val="002555EC"/>
    <w:rsid w:val="00257E2A"/>
    <w:rsid w:val="00282480"/>
    <w:rsid w:val="00294E8D"/>
    <w:rsid w:val="0029501F"/>
    <w:rsid w:val="00306E09"/>
    <w:rsid w:val="003200F3"/>
    <w:rsid w:val="003213DB"/>
    <w:rsid w:val="003276F0"/>
    <w:rsid w:val="00337B94"/>
    <w:rsid w:val="003432E7"/>
    <w:rsid w:val="00344939"/>
    <w:rsid w:val="00355717"/>
    <w:rsid w:val="0036322A"/>
    <w:rsid w:val="003867BD"/>
    <w:rsid w:val="00386AAF"/>
    <w:rsid w:val="003A639B"/>
    <w:rsid w:val="003D7D25"/>
    <w:rsid w:val="003E085D"/>
    <w:rsid w:val="004152DC"/>
    <w:rsid w:val="0042285F"/>
    <w:rsid w:val="00430399"/>
    <w:rsid w:val="00461F16"/>
    <w:rsid w:val="004678C7"/>
    <w:rsid w:val="00486994"/>
    <w:rsid w:val="004B015C"/>
    <w:rsid w:val="004B16E7"/>
    <w:rsid w:val="004C0D48"/>
    <w:rsid w:val="004D44DE"/>
    <w:rsid w:val="004E4DB3"/>
    <w:rsid w:val="004E786D"/>
    <w:rsid w:val="004F7132"/>
    <w:rsid w:val="005038D7"/>
    <w:rsid w:val="00504D51"/>
    <w:rsid w:val="00513D64"/>
    <w:rsid w:val="00515E7B"/>
    <w:rsid w:val="00520CEE"/>
    <w:rsid w:val="005275CA"/>
    <w:rsid w:val="00550DD9"/>
    <w:rsid w:val="005561C0"/>
    <w:rsid w:val="005736E0"/>
    <w:rsid w:val="00581DEC"/>
    <w:rsid w:val="005A1501"/>
    <w:rsid w:val="005A754D"/>
    <w:rsid w:val="005B13D5"/>
    <w:rsid w:val="005B7084"/>
    <w:rsid w:val="005C00E7"/>
    <w:rsid w:val="005C1652"/>
    <w:rsid w:val="005D4ED2"/>
    <w:rsid w:val="0060682D"/>
    <w:rsid w:val="00632A52"/>
    <w:rsid w:val="00652127"/>
    <w:rsid w:val="00661A23"/>
    <w:rsid w:val="00672FE3"/>
    <w:rsid w:val="00673505"/>
    <w:rsid w:val="0067551D"/>
    <w:rsid w:val="006A6043"/>
    <w:rsid w:val="006B2F22"/>
    <w:rsid w:val="006E23C4"/>
    <w:rsid w:val="006E403D"/>
    <w:rsid w:val="006E76F2"/>
    <w:rsid w:val="007020BF"/>
    <w:rsid w:val="007215D8"/>
    <w:rsid w:val="00736091"/>
    <w:rsid w:val="00743626"/>
    <w:rsid w:val="00751358"/>
    <w:rsid w:val="0078483F"/>
    <w:rsid w:val="007C08E3"/>
    <w:rsid w:val="007C7075"/>
    <w:rsid w:val="007D5508"/>
    <w:rsid w:val="007F6961"/>
    <w:rsid w:val="008032A8"/>
    <w:rsid w:val="00806C15"/>
    <w:rsid w:val="0082023A"/>
    <w:rsid w:val="008538D0"/>
    <w:rsid w:val="00856850"/>
    <w:rsid w:val="0089070D"/>
    <w:rsid w:val="00893AB8"/>
    <w:rsid w:val="00895EF2"/>
    <w:rsid w:val="008A1364"/>
    <w:rsid w:val="008D398D"/>
    <w:rsid w:val="009007D7"/>
    <w:rsid w:val="00935E73"/>
    <w:rsid w:val="00951189"/>
    <w:rsid w:val="00957F04"/>
    <w:rsid w:val="00966985"/>
    <w:rsid w:val="00A15289"/>
    <w:rsid w:val="00A16D4A"/>
    <w:rsid w:val="00A3788C"/>
    <w:rsid w:val="00A41473"/>
    <w:rsid w:val="00A50237"/>
    <w:rsid w:val="00A71F74"/>
    <w:rsid w:val="00AA0825"/>
    <w:rsid w:val="00AB4339"/>
    <w:rsid w:val="00AC18DC"/>
    <w:rsid w:val="00AD284A"/>
    <w:rsid w:val="00AE0E97"/>
    <w:rsid w:val="00B10CC9"/>
    <w:rsid w:val="00B44F86"/>
    <w:rsid w:val="00B56DFA"/>
    <w:rsid w:val="00B912A1"/>
    <w:rsid w:val="00B93527"/>
    <w:rsid w:val="00B979BF"/>
    <w:rsid w:val="00BA1216"/>
    <w:rsid w:val="00BD0E28"/>
    <w:rsid w:val="00BD4228"/>
    <w:rsid w:val="00C02982"/>
    <w:rsid w:val="00C02D66"/>
    <w:rsid w:val="00C17AB2"/>
    <w:rsid w:val="00C21B10"/>
    <w:rsid w:val="00C24479"/>
    <w:rsid w:val="00C444DC"/>
    <w:rsid w:val="00C523AA"/>
    <w:rsid w:val="00C72525"/>
    <w:rsid w:val="00CA3F76"/>
    <w:rsid w:val="00CB3FD2"/>
    <w:rsid w:val="00CC7B84"/>
    <w:rsid w:val="00CD3B94"/>
    <w:rsid w:val="00CE2B3D"/>
    <w:rsid w:val="00CE5EFE"/>
    <w:rsid w:val="00D36CEA"/>
    <w:rsid w:val="00D40AE9"/>
    <w:rsid w:val="00D55318"/>
    <w:rsid w:val="00D565A0"/>
    <w:rsid w:val="00D56789"/>
    <w:rsid w:val="00D80F74"/>
    <w:rsid w:val="00D823D7"/>
    <w:rsid w:val="00D85CC6"/>
    <w:rsid w:val="00D93F98"/>
    <w:rsid w:val="00DA26D4"/>
    <w:rsid w:val="00DB26CD"/>
    <w:rsid w:val="00DD1A2B"/>
    <w:rsid w:val="00DD5C0C"/>
    <w:rsid w:val="00DD5FEB"/>
    <w:rsid w:val="00E136A5"/>
    <w:rsid w:val="00E204AC"/>
    <w:rsid w:val="00E460BF"/>
    <w:rsid w:val="00E475DE"/>
    <w:rsid w:val="00E53C58"/>
    <w:rsid w:val="00E57B27"/>
    <w:rsid w:val="00E645C6"/>
    <w:rsid w:val="00E67B20"/>
    <w:rsid w:val="00E70918"/>
    <w:rsid w:val="00E76AB5"/>
    <w:rsid w:val="00EA2D2C"/>
    <w:rsid w:val="00EB24D4"/>
    <w:rsid w:val="00EF0E2D"/>
    <w:rsid w:val="00F21A23"/>
    <w:rsid w:val="00F432E5"/>
    <w:rsid w:val="00F635D1"/>
    <w:rsid w:val="00F67901"/>
    <w:rsid w:val="00F77A57"/>
    <w:rsid w:val="00F8510A"/>
    <w:rsid w:val="00FB4FBA"/>
    <w:rsid w:val="00FC2BD2"/>
    <w:rsid w:val="00FC6778"/>
    <w:rsid w:val="00FD0338"/>
    <w:rsid w:val="00FF3764"/>
    <w:rsid w:val="00FF42CE"/>
    <w:rsid w:val="02634DCA"/>
    <w:rsid w:val="02D805B2"/>
    <w:rsid w:val="040F7292"/>
    <w:rsid w:val="059E78DE"/>
    <w:rsid w:val="05BB60E9"/>
    <w:rsid w:val="06D777CF"/>
    <w:rsid w:val="0A2408F8"/>
    <w:rsid w:val="0B09181B"/>
    <w:rsid w:val="0B8B0082"/>
    <w:rsid w:val="0D311C9C"/>
    <w:rsid w:val="0D5E716B"/>
    <w:rsid w:val="12D7757E"/>
    <w:rsid w:val="170842BA"/>
    <w:rsid w:val="17095DA8"/>
    <w:rsid w:val="19284D4D"/>
    <w:rsid w:val="1AD0353E"/>
    <w:rsid w:val="1C38501F"/>
    <w:rsid w:val="1D7935D7"/>
    <w:rsid w:val="21465767"/>
    <w:rsid w:val="23474138"/>
    <w:rsid w:val="23B4055F"/>
    <w:rsid w:val="244F01B8"/>
    <w:rsid w:val="26B13891"/>
    <w:rsid w:val="281A5A03"/>
    <w:rsid w:val="2C155F18"/>
    <w:rsid w:val="2E823F6F"/>
    <w:rsid w:val="2EB231E2"/>
    <w:rsid w:val="304133C5"/>
    <w:rsid w:val="31E108DC"/>
    <w:rsid w:val="336B0647"/>
    <w:rsid w:val="355B4BA0"/>
    <w:rsid w:val="36755E4B"/>
    <w:rsid w:val="36B9618F"/>
    <w:rsid w:val="37261A0A"/>
    <w:rsid w:val="39850E19"/>
    <w:rsid w:val="3A5F7A27"/>
    <w:rsid w:val="3EC24D77"/>
    <w:rsid w:val="45EB17F9"/>
    <w:rsid w:val="464D2042"/>
    <w:rsid w:val="469D073E"/>
    <w:rsid w:val="47235822"/>
    <w:rsid w:val="4865652F"/>
    <w:rsid w:val="492A3FEA"/>
    <w:rsid w:val="4A686180"/>
    <w:rsid w:val="4B3F7D12"/>
    <w:rsid w:val="4E2B32EB"/>
    <w:rsid w:val="4E7707C5"/>
    <w:rsid w:val="4F154237"/>
    <w:rsid w:val="4F5E6DE4"/>
    <w:rsid w:val="5011432B"/>
    <w:rsid w:val="508F6D50"/>
    <w:rsid w:val="52E473F1"/>
    <w:rsid w:val="5869447E"/>
    <w:rsid w:val="59A15AA1"/>
    <w:rsid w:val="59EE182B"/>
    <w:rsid w:val="5B3849CD"/>
    <w:rsid w:val="5D975A95"/>
    <w:rsid w:val="5ED7302B"/>
    <w:rsid w:val="60653EF1"/>
    <w:rsid w:val="63383E17"/>
    <w:rsid w:val="63581134"/>
    <w:rsid w:val="640B0603"/>
    <w:rsid w:val="648A4B64"/>
    <w:rsid w:val="67784391"/>
    <w:rsid w:val="69D071A6"/>
    <w:rsid w:val="69E3290F"/>
    <w:rsid w:val="6C831F18"/>
    <w:rsid w:val="6CC46847"/>
    <w:rsid w:val="6D062E90"/>
    <w:rsid w:val="6EED71E6"/>
    <w:rsid w:val="6F330DF6"/>
    <w:rsid w:val="702B4099"/>
    <w:rsid w:val="71647813"/>
    <w:rsid w:val="71E437AF"/>
    <w:rsid w:val="74633B49"/>
    <w:rsid w:val="792C6FD4"/>
    <w:rsid w:val="7B2E6DB9"/>
    <w:rsid w:val="7B405028"/>
    <w:rsid w:val="7C94444E"/>
    <w:rsid w:val="7D124EB2"/>
    <w:rsid w:val="7D294C55"/>
    <w:rsid w:val="7FFE4A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1"/>
    <w:semiHidden/>
    <w:unhideWhenUsed/>
    <w:qFormat/>
    <w:uiPriority w:val="99"/>
    <w:rPr>
      <w:b/>
      <w:bCs/>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unhideWhenUsed/>
    <w:qFormat/>
    <w:uiPriority w:val="99"/>
    <w:pPr>
      <w:ind w:firstLine="420" w:firstLineChars="200"/>
    </w:pPr>
  </w:style>
  <w:style w:type="character" w:customStyle="1" w:styleId="17">
    <w:name w:val="页眉 Char"/>
    <w:basedOn w:val="10"/>
    <w:link w:val="6"/>
    <w:qFormat/>
    <w:uiPriority w:val="99"/>
    <w:rPr>
      <w:kern w:val="2"/>
      <w:sz w:val="18"/>
      <w:szCs w:val="18"/>
    </w:rPr>
  </w:style>
  <w:style w:type="character" w:customStyle="1" w:styleId="18">
    <w:name w:val="页脚 Char"/>
    <w:basedOn w:val="10"/>
    <w:link w:val="5"/>
    <w:qFormat/>
    <w:uiPriority w:val="99"/>
    <w:rPr>
      <w:kern w:val="2"/>
      <w:sz w:val="18"/>
      <w:szCs w:val="18"/>
    </w:rPr>
  </w:style>
  <w:style w:type="character" w:customStyle="1" w:styleId="19">
    <w:name w:val="批注框文本 Char"/>
    <w:basedOn w:val="10"/>
    <w:link w:val="4"/>
    <w:semiHidden/>
    <w:qFormat/>
    <w:uiPriority w:val="99"/>
    <w:rPr>
      <w:kern w:val="2"/>
      <w:sz w:val="18"/>
      <w:szCs w:val="18"/>
    </w:rPr>
  </w:style>
  <w:style w:type="character" w:customStyle="1" w:styleId="20">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21">
    <w:name w:val="批注主题 Char"/>
    <w:basedOn w:val="20"/>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B6E96-DE9F-4618-BF7A-2EEE1A051FAA}">
  <ds:schemaRefs/>
</ds:datastoreItem>
</file>

<file path=docProps/app.xml><?xml version="1.0" encoding="utf-8"?>
<Properties xmlns="http://schemas.openxmlformats.org/officeDocument/2006/extended-properties" xmlns:vt="http://schemas.openxmlformats.org/officeDocument/2006/docPropsVTypes">
  <Template>Normal.dotm</Template>
  <Company>HFUT</Company>
  <Pages>4</Pages>
  <Words>288</Words>
  <Characters>1644</Characters>
  <Lines>13</Lines>
  <Paragraphs>3</Paragraphs>
  <TotalTime>2</TotalTime>
  <ScaleCrop>false</ScaleCrop>
  <LinksUpToDate>false</LinksUpToDate>
  <CharactersWithSpaces>1929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2019-02-27T04:51:00Z</dcterms:created>
  <dc:creator>NTKO</dc:creator>
  <cp:lastModifiedBy>Go_Ahead</cp:lastModifiedBy>
  <cp:lastPrinted>2019-04-12T07:21:00Z</cp:lastPrinted>
  <dcterms:modified xsi:type="dcterms:W3CDTF">2019-04-18T01:19:41Z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2052-11.1.0.8567</vt:lpwstr>
  </property>
</Properties>
</file>